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R4-2511137</w:t>
      </w:r>
      <w:bookmarkStart w:id="23" w:name="_GoBack"/>
      <w:bookmarkEnd w:id="23"/>
      <w:r>
        <w:rPr>
          <w:rFonts w:hint="eastAsia" w:ascii="Arial" w:hAnsi="Arial" w:cs="Arial"/>
          <w:b/>
          <w:sz w:val="24"/>
          <w:szCs w:val="24"/>
        </w:rPr>
        <w:t xml:space="preserve">                        </w:t>
      </w:r>
    </w:p>
    <w:p w14:paraId="5B15AE85">
      <w:pPr>
        <w:pStyle w:val="18"/>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24BBF7A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7.21.2.1</w:t>
      </w:r>
    </w:p>
    <w:p w14:paraId="7585B3A2">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629BAF6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14:paraId="541586D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76FC7972">
      <w:pPr>
        <w:pStyle w:val="57"/>
        <w:tabs>
          <w:tab w:val="left" w:pos="567"/>
          <w:tab w:val="clear" w:pos="1985"/>
        </w:tabs>
        <w:adjustRightInd w:val="0"/>
        <w:ind w:left="510" w:hanging="510"/>
      </w:pPr>
      <w:r>
        <w:t>Introduction</w:t>
      </w:r>
    </w:p>
    <w:p w14:paraId="30C09C91">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59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358AE53">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1-1</w:t>
            </w:r>
            <w:r>
              <w:rPr>
                <w:rFonts w:hint="eastAsia"/>
                <w:lang w:val="en-US"/>
              </w:rPr>
              <w:t>:</w:t>
            </w:r>
            <w:r>
              <w:rPr>
                <w:rFonts w:hint="default"/>
                <w:lang w:val="en-US"/>
              </w:rPr>
              <w:t xml:space="preserve"> Declaration and flexibility for SBFD operation </w:t>
            </w:r>
          </w:p>
          <w:p w14:paraId="4F20C341">
            <w:pPr>
              <w:pStyle w:val="6"/>
              <w:numPr>
                <w:ilvl w:val="0"/>
                <w:numId w:val="0"/>
              </w:numPr>
              <w:suppressLineNumbers w:val="0"/>
              <w:spacing w:beforeAutospacing="0" w:afterAutospacing="0"/>
              <w:ind w:left="864" w:right="0" w:hanging="864"/>
              <w:rPr>
                <w:rFonts w:hint="default"/>
                <w:lang w:val="en-US"/>
              </w:rPr>
            </w:pPr>
            <w:r>
              <w:rPr>
                <w:rFonts w:hint="default"/>
                <w:lang w:val="en-US"/>
              </w:rPr>
              <w:t xml:space="preserve">Issue 1-1-1: Declaration and flexibility for SBFD operation </w:t>
            </w:r>
          </w:p>
          <w:p w14:paraId="6863E776">
            <w:pPr>
              <w:keepNext w:val="0"/>
              <w:keepLines w:val="0"/>
              <w:suppressLineNumbers w:val="0"/>
              <w:spacing w:before="0" w:beforeAutospacing="0" w:after="120" w:afterAutospacing="0" w:line="259" w:lineRule="auto"/>
              <w:ind w:left="0" w:right="0"/>
              <w:rPr>
                <w:rFonts w:hint="default"/>
                <w:lang w:val="en-US"/>
              </w:rPr>
            </w:pPr>
            <w:r>
              <w:rPr>
                <w:rFonts w:hint="default"/>
                <w:highlight w:val="green"/>
                <w:lang w:val="en-US"/>
              </w:rPr>
              <w:t>Agreement:</w:t>
            </w:r>
            <w:r>
              <w:rPr>
                <w:rFonts w:hint="default"/>
                <w:lang w:val="en-US"/>
              </w:rPr>
              <w:t xml:space="preserve"> </w:t>
            </w:r>
          </w:p>
          <w:p w14:paraId="196F62A3">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For all FR2 BS classes, a which are not expected to require analog filter(s), for each declared channel bandwidth and each declared SBFD pattern (either DUD or DU/UD), the configurations with the narrowest and widest UL/DL subband sizes out of all declared configurations shall be tested.</w:t>
            </w:r>
          </w:p>
          <w:p w14:paraId="7807CED9">
            <w:pPr>
              <w:pStyle w:val="36"/>
              <w:keepNext w:val="0"/>
              <w:keepLines w:val="0"/>
              <w:numPr>
                <w:ilvl w:val="0"/>
                <w:numId w:val="2"/>
              </w:numPr>
              <w:suppressLineNumbers w:val="0"/>
              <w:spacing w:before="0" w:beforeAutospacing="0" w:after="120" w:afterAutospacing="0" w:line="259" w:lineRule="auto"/>
              <w:ind w:right="0" w:firstLineChars="0"/>
              <w:rPr>
                <w:rFonts w:hint="default"/>
                <w:lang w:val="en-US"/>
              </w:rPr>
            </w:pPr>
            <w:r>
              <w:rPr>
                <w:rFonts w:hint="default"/>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8860AFC">
            <w:pPr>
              <w:pStyle w:val="36"/>
              <w:keepNext w:val="0"/>
              <w:keepLines w:val="0"/>
              <w:numPr>
                <w:ilvl w:val="1"/>
                <w:numId w:val="2"/>
              </w:numPr>
              <w:suppressLineNumbers w:val="0"/>
              <w:spacing w:before="0" w:beforeAutospacing="0" w:after="120" w:afterAutospacing="0" w:line="259" w:lineRule="auto"/>
              <w:ind w:right="0" w:firstLineChars="0"/>
              <w:rPr>
                <w:rFonts w:hint="default"/>
                <w:lang w:val="en-US"/>
              </w:rPr>
            </w:pPr>
            <w:r>
              <w:rPr>
                <w:rFonts w:hint="default"/>
                <w:lang w:val="en-US"/>
              </w:rPr>
              <w:t>Use X dBm selected from the range of [33, 38] dBm either as TRP or total conducted power as the power level threshold for FR1 MR SBFD capable BSs related to testing.</w:t>
            </w:r>
          </w:p>
          <w:p w14:paraId="4357C2CF">
            <w:pPr>
              <w:pStyle w:val="36"/>
              <w:keepNext w:val="0"/>
              <w:keepLines w:val="0"/>
              <w:numPr>
                <w:ilvl w:val="2"/>
                <w:numId w:val="2"/>
              </w:numPr>
              <w:suppressLineNumbers w:val="0"/>
              <w:spacing w:before="0" w:beforeAutospacing="0" w:after="120" w:afterAutospacing="0" w:line="259" w:lineRule="auto"/>
              <w:ind w:right="0" w:firstLineChars="0"/>
              <w:rPr>
                <w:rFonts w:hint="default"/>
                <w:lang w:val="en-US"/>
              </w:rPr>
            </w:pPr>
            <w:r>
              <w:rPr>
                <w:rFonts w:hint="eastAsia"/>
                <w:lang w:val="en-US"/>
              </w:rPr>
              <w:t>X</w:t>
            </w:r>
            <w:r>
              <w:rPr>
                <w:rFonts w:hint="default"/>
                <w:lang w:val="en-US"/>
              </w:rPr>
              <w:t xml:space="preserve"> value will be selected in next meeting. </w:t>
            </w:r>
          </w:p>
          <w:p w14:paraId="72530169">
            <w:pPr>
              <w:keepNext w:val="0"/>
              <w:keepLines w:val="0"/>
              <w:suppressLineNumbers w:val="0"/>
              <w:spacing w:before="0" w:beforeAutospacing="0" w:after="120" w:afterAutospacing="0" w:line="259" w:lineRule="auto"/>
              <w:ind w:left="0" w:right="0"/>
              <w:rPr>
                <w:rFonts w:hint="default"/>
                <w:szCs w:val="24"/>
                <w:lang w:val="en-US" w:eastAsia="zh-CN"/>
              </w:rPr>
            </w:pPr>
          </w:p>
          <w:p w14:paraId="6C49350A">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1-2</w:t>
            </w:r>
            <w:r>
              <w:rPr>
                <w:rFonts w:hint="eastAsia"/>
                <w:lang w:val="en-US"/>
              </w:rPr>
              <w:t>:</w:t>
            </w:r>
            <w:r>
              <w:rPr>
                <w:rFonts w:hint="default"/>
                <w:lang w:val="en-US"/>
              </w:rPr>
              <w:t xml:space="preserve"> DL/UL subband configurations support for SBFD</w:t>
            </w:r>
          </w:p>
          <w:p w14:paraId="62CC5F75">
            <w:pPr>
              <w:keepNext w:val="0"/>
              <w:keepLines w:val="0"/>
              <w:suppressLineNumbers w:val="0"/>
              <w:spacing w:before="0" w:beforeAutospacing="0" w:after="120" w:afterAutospacing="0" w:line="259" w:lineRule="auto"/>
              <w:ind w:left="0" w:right="0"/>
              <w:rPr>
                <w:rFonts w:hint="default"/>
                <w:lang w:val="en-US"/>
              </w:rPr>
            </w:pPr>
            <w:r>
              <w:rPr>
                <w:rFonts w:hint="default"/>
                <w:highlight w:val="green"/>
                <w:lang w:val="en-US"/>
              </w:rPr>
              <w:t>Agreement:</w:t>
            </w:r>
            <w:r>
              <w:rPr>
                <w:rFonts w:hint="default"/>
                <w:lang w:val="en-US"/>
              </w:rPr>
              <w:t xml:space="preserve"> </w:t>
            </w:r>
          </w:p>
          <w:p w14:paraId="471C887C">
            <w:pPr>
              <w:pStyle w:val="36"/>
              <w:keepNext w:val="0"/>
              <w:keepLines w:val="0"/>
              <w:numPr>
                <w:ilvl w:val="0"/>
                <w:numId w:val="2"/>
              </w:numPr>
              <w:suppressLineNumbers w:val="0"/>
              <w:spacing w:before="0" w:beforeAutospacing="0" w:afterAutospacing="0"/>
              <w:ind w:right="0" w:firstLineChars="0"/>
              <w:rPr>
                <w:rFonts w:hint="default"/>
                <w:lang w:val="en-US"/>
              </w:rPr>
            </w:pPr>
            <w:r>
              <w:rPr>
                <w:rFonts w:hint="default"/>
                <w:lang w:val="en-US"/>
              </w:rPr>
              <w:t>For a specific channel BW supported for SBFD, the maximum number of specific UL subband sizes are allowed to be declared</w:t>
            </w:r>
          </w:p>
          <w:p w14:paraId="7C32CF0F">
            <w:pPr>
              <w:pStyle w:val="36"/>
              <w:keepNext w:val="0"/>
              <w:keepLines w:val="0"/>
              <w:numPr>
                <w:ilvl w:val="1"/>
                <w:numId w:val="2"/>
              </w:numPr>
              <w:suppressLineNumbers w:val="0"/>
              <w:spacing w:before="0" w:beforeAutospacing="0" w:afterAutospacing="0"/>
              <w:ind w:right="0" w:firstLineChars="0"/>
              <w:rPr>
                <w:rFonts w:hint="default"/>
                <w:lang w:val="en-US"/>
              </w:rPr>
            </w:pPr>
            <w:r>
              <w:rPr>
                <w:rFonts w:hint="default"/>
                <w:lang w:val="en-US"/>
              </w:rPr>
              <w:t>Maximum 3 subband configurations allowed for FR1 WA BS</w:t>
            </w:r>
          </w:p>
          <w:p w14:paraId="47400069">
            <w:pPr>
              <w:pStyle w:val="36"/>
              <w:keepNext w:val="0"/>
              <w:keepLines w:val="0"/>
              <w:numPr>
                <w:ilvl w:val="2"/>
                <w:numId w:val="2"/>
              </w:numPr>
              <w:suppressLineNumbers w:val="0"/>
              <w:spacing w:before="0" w:beforeAutospacing="0" w:afterAutospacing="0"/>
              <w:ind w:right="0" w:firstLineChars="0"/>
              <w:rPr>
                <w:rFonts w:hint="default"/>
                <w:lang w:val="en-US"/>
              </w:rPr>
            </w:pPr>
            <w:r>
              <w:rPr>
                <w:rFonts w:hint="default"/>
                <w:lang w:val="en-US"/>
              </w:rPr>
              <w:t xml:space="preserve">These 3 suband configurations shall cover all DUD and DU/UD ones supported by this BS. </w:t>
            </w:r>
          </w:p>
          <w:p w14:paraId="531185D3">
            <w:pPr>
              <w:pStyle w:val="36"/>
              <w:keepNext w:val="0"/>
              <w:keepLines w:val="0"/>
              <w:numPr>
                <w:ilvl w:val="2"/>
                <w:numId w:val="2"/>
              </w:numPr>
              <w:suppressLineNumbers w:val="0"/>
              <w:spacing w:before="0" w:beforeAutospacing="0" w:afterAutospacing="0"/>
              <w:ind w:right="0" w:firstLineChars="0"/>
              <w:rPr>
                <w:rFonts w:hint="default"/>
                <w:lang w:val="en-US"/>
              </w:rPr>
            </w:pPr>
            <w:r>
              <w:rPr>
                <w:rFonts w:hint="default"/>
                <w:lang w:val="en-US"/>
              </w:rPr>
              <w:t>One UL subband size for DU/UD cases, should be counted as 2 configurations, e.g., UD 20-80MHz and DU 80-20MHz should be counted as 2 configurations.</w:t>
            </w:r>
          </w:p>
          <w:p w14:paraId="6DD7EFC3">
            <w:pPr>
              <w:pStyle w:val="36"/>
              <w:keepNext w:val="0"/>
              <w:keepLines w:val="0"/>
              <w:numPr>
                <w:ilvl w:val="1"/>
                <w:numId w:val="2"/>
              </w:numPr>
              <w:suppressLineNumbers w:val="0"/>
              <w:spacing w:before="0" w:beforeAutospacing="0" w:afterAutospacing="0"/>
              <w:ind w:right="0" w:firstLineChars="0"/>
              <w:rPr>
                <w:rFonts w:hint="default"/>
                <w:lang w:val="en-US"/>
              </w:rPr>
            </w:pPr>
            <w:r>
              <w:rPr>
                <w:rFonts w:hint="default"/>
                <w:lang w:val="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5C4686BC">
            <w:pPr>
              <w:pStyle w:val="36"/>
              <w:keepNext w:val="0"/>
              <w:keepLines w:val="0"/>
              <w:numPr>
                <w:ilvl w:val="2"/>
                <w:numId w:val="2"/>
              </w:numPr>
              <w:suppressLineNumbers w:val="0"/>
              <w:spacing w:before="0" w:beforeAutospacing="0" w:afterAutospacing="0"/>
              <w:ind w:right="0" w:firstLineChars="0"/>
              <w:rPr>
                <w:rFonts w:hint="default"/>
                <w:lang w:val="en-US"/>
              </w:rPr>
            </w:pPr>
            <w:r>
              <w:rPr>
                <w:rFonts w:hint="default"/>
                <w:u w:val="single"/>
                <w:lang w:val="en-US"/>
              </w:rPr>
              <w:t>Adopt the same power level threshold as the one to differentiate whether all declared configurations shall be tested or not.</w:t>
            </w:r>
          </w:p>
          <w:p w14:paraId="3A6C586F">
            <w:pPr>
              <w:keepNext w:val="0"/>
              <w:keepLines w:val="0"/>
              <w:suppressLineNumbers w:val="0"/>
              <w:spacing w:before="0" w:beforeAutospacing="0" w:after="120" w:afterAutospacing="0" w:line="259" w:lineRule="auto"/>
              <w:ind w:left="0" w:right="0"/>
              <w:rPr>
                <w:rFonts w:hint="default"/>
                <w:highlight w:val="yellow"/>
                <w:lang w:val="en-US"/>
              </w:rPr>
            </w:pPr>
          </w:p>
          <w:p w14:paraId="4CB93AC0">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1-2-2: Restriction on the number of DL subband sizes supported</w:t>
            </w:r>
          </w:p>
          <w:p w14:paraId="4D1215DF">
            <w:pPr>
              <w:keepNext w:val="0"/>
              <w:keepLines w:val="0"/>
              <w:suppressLineNumbers w:val="0"/>
              <w:spacing w:before="0" w:beforeAutospacing="0" w:after="120" w:afterAutospacing="0" w:line="259" w:lineRule="auto"/>
              <w:ind w:left="0" w:right="0"/>
              <w:rPr>
                <w:rFonts w:hint="default"/>
                <w:lang w:val="en-US"/>
              </w:rPr>
            </w:pPr>
            <w:r>
              <w:rPr>
                <w:rFonts w:hint="default"/>
                <w:highlight w:val="green"/>
                <w:lang w:val="en-US"/>
              </w:rPr>
              <w:t>Agreement:</w:t>
            </w:r>
            <w:r>
              <w:rPr>
                <w:rFonts w:hint="default"/>
                <w:lang w:val="en-US"/>
              </w:rPr>
              <w:t xml:space="preserve"> </w:t>
            </w:r>
          </w:p>
          <w:p w14:paraId="75609E7B">
            <w:pPr>
              <w:pStyle w:val="36"/>
              <w:keepNext w:val="0"/>
              <w:keepLines w:val="0"/>
              <w:numPr>
                <w:ilvl w:val="0"/>
                <w:numId w:val="2"/>
              </w:numPr>
              <w:suppressLineNumbers w:val="0"/>
              <w:spacing w:before="0" w:beforeAutospacing="0" w:afterAutospacing="0"/>
              <w:ind w:right="0" w:firstLineChars="0"/>
              <w:rPr>
                <w:rFonts w:hint="default"/>
                <w:lang w:val="en-US"/>
              </w:rPr>
            </w:pPr>
            <w:r>
              <w:rPr>
                <w:rFonts w:hint="default"/>
                <w:lang w:val="en-US"/>
              </w:rPr>
              <w:t>For a specific channel BW and a specific UL subband size supported, only one DL subband size is allowed to be declared and tested for DU/UD case, and only one DL subband size is allowed to be declared and tested for DUD case</w:t>
            </w:r>
          </w:p>
          <w:p w14:paraId="15587BBA">
            <w:pPr>
              <w:pStyle w:val="36"/>
              <w:keepNext w:val="0"/>
              <w:keepLines w:val="0"/>
              <w:numPr>
                <w:ilvl w:val="1"/>
                <w:numId w:val="2"/>
              </w:numPr>
              <w:suppressLineNumbers w:val="0"/>
              <w:spacing w:before="0" w:beforeAutospacing="0" w:afterAutospacing="0"/>
              <w:ind w:right="0" w:firstLineChars="0"/>
              <w:rPr>
                <w:rFonts w:hint="default"/>
                <w:lang w:val="en-US"/>
              </w:rPr>
            </w:pPr>
            <w:r>
              <w:rPr>
                <w:rFonts w:hint="default"/>
                <w:lang w:val="en-US"/>
              </w:rPr>
              <w:t>This restriction shall be applied to FR1 WA BS</w:t>
            </w:r>
          </w:p>
          <w:p w14:paraId="765A4CAC">
            <w:pPr>
              <w:pStyle w:val="36"/>
              <w:keepNext w:val="0"/>
              <w:keepLines w:val="0"/>
              <w:numPr>
                <w:ilvl w:val="1"/>
                <w:numId w:val="2"/>
              </w:numPr>
              <w:suppressLineNumbers w:val="0"/>
              <w:spacing w:before="0" w:beforeAutospacing="0" w:afterAutospacing="0"/>
              <w:ind w:right="0" w:firstLineChars="0"/>
              <w:rPr>
                <w:rFonts w:hint="default"/>
                <w:lang w:val="en-US"/>
              </w:rPr>
            </w:pPr>
            <w:r>
              <w:rPr>
                <w:rFonts w:hint="default"/>
                <w:lang w:val="en-US"/>
              </w:rPr>
              <w:t xml:space="preserve">For FR1 MR BS SBFD-capable BSs, a power level threshold could be established: Above this threshold, this restriction is applicable as FR1 WA BS; Below this threshold, the restriction on the number of DL subband sizes supported is not applicable. </w:t>
            </w:r>
          </w:p>
          <w:p w14:paraId="183D4E96">
            <w:pPr>
              <w:pStyle w:val="36"/>
              <w:keepNext w:val="0"/>
              <w:keepLines w:val="0"/>
              <w:numPr>
                <w:ilvl w:val="2"/>
                <w:numId w:val="2"/>
              </w:numPr>
              <w:suppressLineNumbers w:val="0"/>
              <w:spacing w:before="0" w:beforeAutospacing="0" w:afterAutospacing="0"/>
              <w:ind w:right="0" w:firstLineChars="0"/>
              <w:rPr>
                <w:rFonts w:hint="default"/>
                <w:lang w:val="en-US"/>
              </w:rPr>
            </w:pPr>
            <w:r>
              <w:rPr>
                <w:rFonts w:hint="default"/>
                <w:u w:val="single"/>
                <w:lang w:val="en-US"/>
              </w:rPr>
              <w:t>Adopt the same power level threshold as the one to differentiate whether all declared configurations shall be tested or not.</w:t>
            </w:r>
          </w:p>
          <w:p w14:paraId="13C13ADD">
            <w:pPr>
              <w:keepNext w:val="0"/>
              <w:keepLines w:val="0"/>
              <w:suppressLineNumbers w:val="0"/>
              <w:spacing w:before="0" w:beforeAutospacing="0" w:after="120" w:afterAutospacing="0" w:line="259" w:lineRule="auto"/>
              <w:ind w:left="0" w:right="0"/>
              <w:rPr>
                <w:rFonts w:hint="default"/>
                <w:highlight w:val="yellow"/>
              </w:rPr>
            </w:pPr>
          </w:p>
          <w:p w14:paraId="2E166EBA">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1-2-3: Restriction on guardband size for SBFD</w:t>
            </w:r>
          </w:p>
          <w:p w14:paraId="7560C945">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No agreement in this meeting and the way forward from RAN4#114bis can still be followed. </w:t>
            </w:r>
          </w:p>
          <w:p w14:paraId="183B9B66">
            <w:pPr>
              <w:pStyle w:val="36"/>
              <w:keepNext w:val="0"/>
              <w:keepLines w:val="0"/>
              <w:suppressLineNumbers w:val="0"/>
              <w:overflowPunct/>
              <w:autoSpaceDE/>
              <w:autoSpaceDN/>
              <w:adjustRightInd/>
              <w:spacing w:before="0" w:beforeAutospacing="0" w:after="120" w:afterAutospacing="0" w:line="259" w:lineRule="auto"/>
              <w:ind w:left="1656" w:right="0" w:firstLine="0" w:firstLineChars="0"/>
              <w:textAlignment w:val="auto"/>
              <w:rPr>
                <w:rFonts w:hint="default"/>
                <w:lang w:val="en-US"/>
              </w:rPr>
            </w:pPr>
          </w:p>
          <w:p w14:paraId="2A5AEC1F">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1-2-4: Restriction on DL subband size</w:t>
            </w:r>
          </w:p>
          <w:p w14:paraId="3A10C91F">
            <w:pPr>
              <w:keepNext w:val="0"/>
              <w:keepLines w:val="0"/>
              <w:suppressLineNumbers w:val="0"/>
              <w:spacing w:before="0" w:beforeAutospacing="0" w:after="120" w:afterAutospacing="0" w:line="259" w:lineRule="auto"/>
              <w:ind w:left="0" w:right="0"/>
              <w:rPr>
                <w:rFonts w:hint="default"/>
                <w:lang w:val="en-US"/>
              </w:rPr>
            </w:pPr>
            <w:r>
              <w:rPr>
                <w:rFonts w:hint="default"/>
                <w:highlight w:val="green"/>
                <w:lang w:val="en-US"/>
              </w:rPr>
              <w:t>Agreement:</w:t>
            </w:r>
            <w:r>
              <w:rPr>
                <w:rFonts w:hint="default"/>
                <w:lang w:val="en-US"/>
              </w:rPr>
              <w:t xml:space="preserve"> </w:t>
            </w:r>
          </w:p>
          <w:p w14:paraId="35FBC399">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If the SSB symbol is overlapped with SBFD symbol,</w:t>
            </w:r>
          </w:p>
          <w:p w14:paraId="0BCE8FEC">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there is no RAN4 impact at least on RAN4 core requirement for expected regarding DL subband size configuration</w:t>
            </w:r>
          </w:p>
          <w:p w14:paraId="38808384">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vertAlign w:val="baseline"/>
                <w:lang w:val="en-US" w:eastAsia="zh-CN"/>
              </w:rPr>
            </w:pPr>
            <w:r>
              <w:rPr>
                <w:rFonts w:hint="eastAsia"/>
                <w:lang w:val="en-US"/>
              </w:rPr>
              <w:t>F</w:t>
            </w:r>
            <w:r>
              <w:rPr>
                <w:rFonts w:hint="default"/>
                <w:lang w:val="en-US"/>
              </w:rPr>
              <w:t xml:space="preserve">FS the test configuration during performance part discussion. . </w:t>
            </w:r>
          </w:p>
        </w:tc>
      </w:tr>
    </w:tbl>
    <w:p w14:paraId="4945AA9D">
      <w:pPr>
        <w:tabs>
          <w:tab w:val="left" w:pos="2127"/>
        </w:tabs>
        <w:spacing w:after="0"/>
        <w:rPr>
          <w:rFonts w:hint="default" w:eastAsia="宋体"/>
          <w:lang w:val="en-US" w:eastAsia="zh-CN"/>
        </w:rPr>
      </w:pPr>
    </w:p>
    <w:p w14:paraId="61B74D75">
      <w:pPr>
        <w:pStyle w:val="57"/>
        <w:tabs>
          <w:tab w:val="left" w:pos="567"/>
          <w:tab w:val="clear" w:pos="1985"/>
        </w:tabs>
        <w:adjustRightInd w:val="0"/>
        <w:ind w:left="510" w:hanging="510"/>
        <w:rPr>
          <w:rFonts w:hint="eastAsia" w:eastAsia="宋体"/>
          <w:lang w:eastAsia="zh-CN"/>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bookmarkEnd w:id="1"/>
      <w:bookmarkEnd w:id="2"/>
      <w:bookmarkEnd w:id="3"/>
      <w:bookmarkEnd w:id="4"/>
    </w:p>
    <w:p w14:paraId="062669B1">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hint="eastAsia"/>
          <w:sz w:val="20"/>
          <w:szCs w:val="10"/>
          <w:lang w:val="en-US" w:eastAsia="zh-CN"/>
        </w:rPr>
      </w:pPr>
      <w:r>
        <w:rPr>
          <w:rFonts w:hint="eastAsia"/>
          <w:sz w:val="20"/>
          <w:szCs w:val="10"/>
          <w:lang w:val="en-US" w:eastAsia="zh-CN"/>
        </w:rPr>
        <w:t>Issue 1-1-1: Declaration and flexibility for SBFD operation</w:t>
      </w:r>
    </w:p>
    <w:p w14:paraId="749C558F">
      <w:pPr>
        <w:spacing w:after="120" w:line="259" w:lineRule="auto"/>
        <w:rPr>
          <w:highlight w:val="green"/>
          <w:lang w:val="en-US"/>
        </w:rPr>
      </w:pPr>
      <w:r>
        <w:rPr>
          <w:highlight w:val="green"/>
          <w:lang w:val="en-US"/>
        </w:rPr>
        <w:t xml:space="preserve">Agreement: </w:t>
      </w:r>
    </w:p>
    <w:p w14:paraId="35CE6013">
      <w:pPr>
        <w:pStyle w:val="36"/>
        <w:numPr>
          <w:ilvl w:val="0"/>
          <w:numId w:val="2"/>
        </w:numPr>
        <w:spacing w:after="120" w:line="259" w:lineRule="auto"/>
        <w:ind w:firstLineChars="0"/>
        <w:rPr>
          <w:lang w:val="en-US"/>
        </w:rPr>
      </w:pPr>
      <w:r>
        <w:rPr>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76308A9B">
      <w:pPr>
        <w:pStyle w:val="36"/>
        <w:numPr>
          <w:ilvl w:val="0"/>
          <w:numId w:val="2"/>
        </w:numPr>
        <w:spacing w:after="120" w:line="259" w:lineRule="auto"/>
        <w:ind w:firstLineChars="0"/>
        <w:rPr>
          <w:lang w:val="en-US"/>
        </w:rPr>
      </w:pPr>
      <w:r>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82DAC66">
      <w:pPr>
        <w:pStyle w:val="36"/>
        <w:numPr>
          <w:ilvl w:val="1"/>
          <w:numId w:val="2"/>
        </w:numPr>
        <w:spacing w:after="120" w:line="259" w:lineRule="auto"/>
        <w:ind w:firstLineChars="0"/>
        <w:rPr>
          <w:lang w:val="en-US"/>
        </w:rPr>
      </w:pPr>
      <w:r>
        <w:rPr>
          <w:lang w:val="en-US"/>
        </w:rPr>
        <w:t>Use X dBm either as TRP or total conducted power as the power level threshold for FR1 MR SBFD capable BSs related to testing.</w:t>
      </w:r>
    </w:p>
    <w:p w14:paraId="51A0EEAA">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lang w:val="en-US"/>
        </w:rPr>
        <w:t>F</w:t>
      </w:r>
      <w:r>
        <w:rPr>
          <w:lang w:val="en-US"/>
        </w:rPr>
        <w:t>FS the value of X, e.g., X = 33dBm as proposed by one company as candidate value, and study the value for different number of TX chains</w:t>
      </w:r>
      <w:r>
        <w:rPr>
          <w:rFonts w:hint="eastAsia"/>
          <w:lang w:val="en-US" w:eastAsia="zh-CN"/>
        </w:rPr>
        <w:t xml:space="preserve">. </w:t>
      </w:r>
      <w:r>
        <w:rPr>
          <w:rFonts w:hint="eastAsia"/>
          <w:szCs w:val="24"/>
          <w:lang w:val="en-US" w:eastAsia="zh-CN"/>
        </w:rPr>
        <w:t>Regarding the declaration and flexibility, most controversial part is about the necessity of having the analog filtering after the LNA at the receiver side, if there are no such kind of analog filter for the protection of receiver</w:t>
      </w:r>
      <w:r>
        <w:rPr>
          <w:rFonts w:hint="default"/>
          <w:szCs w:val="24"/>
          <w:lang w:val="en-US" w:eastAsia="zh-CN"/>
        </w:rPr>
        <w:t>’</w:t>
      </w:r>
      <w:r>
        <w:rPr>
          <w:rFonts w:hint="eastAsia"/>
          <w:szCs w:val="24"/>
          <w:lang w:val="en-US" w:eastAsia="zh-CN"/>
        </w:rPr>
        <w:t xml:space="preserve">s saturation, then the RAN4 standard should be flexible to have different DL-UL sub-band configuration and only test the worst case for the conformance testing. For FR1 WA SBFD BS, it is clear that some analog filtering are needed at the receiver, this is part of reasoning why BS could only operate under the tested sub-band configuration. However for FR1 MR SBFD BS, from our understanding, it is also fine to assume the analog filter implementation as compromise solution. </w:t>
      </w:r>
    </w:p>
    <w:p w14:paraId="57054004">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1</w:t>
      </w:r>
      <w:r>
        <w:rPr>
          <w:rFonts w:hint="eastAsia"/>
          <w:szCs w:val="24"/>
          <w:lang w:val="en-US" w:eastAsia="zh-CN"/>
        </w:rPr>
        <w:t xml:space="preserve">: for FR1 MR SBFD BS, propose to use the 33dBm as TRP or </w:t>
      </w:r>
      <w:r>
        <w:rPr>
          <w:lang w:val="en-US"/>
        </w:rPr>
        <w:t xml:space="preserve">total conducted power </w:t>
      </w:r>
      <w:r>
        <w:rPr>
          <w:rFonts w:hint="eastAsia"/>
          <w:szCs w:val="24"/>
          <w:lang w:val="en-US" w:eastAsia="zh-CN"/>
        </w:rPr>
        <w:t>as the power threshold.</w:t>
      </w:r>
    </w:p>
    <w:p w14:paraId="2DB5B80C">
      <w:pPr>
        <w:pStyle w:val="3"/>
        <w:keepNext/>
        <w:keepLines/>
        <w:widowControl/>
        <w:numPr>
          <w:ilvl w:val="0"/>
          <w:numId w:val="0"/>
        </w:numPr>
        <w:overflowPunct w:val="0"/>
        <w:autoSpaceDE w:val="0"/>
        <w:autoSpaceDN w:val="0"/>
        <w:adjustRightInd w:val="0"/>
        <w:spacing w:line="260" w:lineRule="auto"/>
        <w:textAlignment w:val="baseline"/>
        <w:outlineLvl w:val="1"/>
        <w:rPr>
          <w:rFonts w:hint="eastAsia"/>
          <w:b/>
          <w:bCs/>
          <w:sz w:val="20"/>
          <w:szCs w:val="10"/>
          <w:lang w:val="en-US" w:eastAsia="zh-CN"/>
        </w:rPr>
      </w:pPr>
      <w:r>
        <w:rPr>
          <w:rFonts w:hint="eastAsia"/>
          <w:b/>
          <w:bCs/>
          <w:sz w:val="20"/>
          <w:szCs w:val="10"/>
          <w:lang w:val="en-US" w:eastAsia="zh-CN"/>
        </w:rPr>
        <w:t>Topic 4: HPUE related updates due to the SBFD configuration</w:t>
      </w:r>
    </w:p>
    <w:p w14:paraId="0E38B4C2">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For SBFD was agreed to be specified in FR1/FR2 TDD bands only and there are lots of HPUE related duty cycle specified for the single TDD band and also EN-DC or NR-CA. For the legacy dutycycle evaluation, the calculation is based on the legacy uplink symbols, however considering the SBFD feature would allow the DL/flexible symbols to be configured as SBFD symbols with both DL sub-band and also UL sub-band, this will increase the potential symbols for the dutycycle evaluation at the UE side. During the discussion in last RAN4 meeting, to simplify the spec changes, we propose to add the following two sentence in the general section 6.1.</w:t>
      </w:r>
    </w:p>
    <w:p w14:paraId="0A3FEB13">
      <w:pPr>
        <w:pStyle w:val="3"/>
      </w:pPr>
      <w:bookmarkStart w:id="5" w:name="_Toc84404881"/>
      <w:bookmarkStart w:id="6" w:name="_Toc61372689"/>
      <w:bookmarkStart w:id="7" w:name="_Toc36107505"/>
      <w:bookmarkStart w:id="8" w:name="_Toc29801714"/>
      <w:bookmarkStart w:id="9" w:name="_Toc37251264"/>
      <w:bookmarkStart w:id="10" w:name="_Toc69084042"/>
      <w:bookmarkStart w:id="11" w:name="_Toc45888665"/>
      <w:bookmarkStart w:id="12" w:name="_Toc84413490"/>
      <w:bookmarkStart w:id="13" w:name="_Toc83580372"/>
      <w:bookmarkStart w:id="14" w:name="_Toc21344230"/>
      <w:bookmarkStart w:id="15" w:name="_Toc45888066"/>
      <w:bookmarkStart w:id="16" w:name="_Toc61367306"/>
      <w:bookmarkStart w:id="17" w:name="_Toc75467050"/>
      <w:bookmarkStart w:id="18" w:name="_Toc76718062"/>
      <w:bookmarkStart w:id="19" w:name="_Toc29802138"/>
      <w:bookmarkStart w:id="20" w:name="_Toc76509072"/>
      <w:bookmarkStart w:id="21" w:name="_Toc68230629"/>
      <w:bookmarkStart w:id="22" w:name="_Toc29802763"/>
      <w:r>
        <w:t>6.1</w:t>
      </w:r>
      <w:r>
        <w:tab/>
      </w:r>
      <w:r>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29FBB6">
      <w:r>
        <w:t>Unless otherwise stated, the transmitter characteristics are specified at the antenna connector of the UE with a single or multiple transmit antenna(s). For UE with integral antenna only, a reference antenna with a gain of 0 dBi is assumed.</w:t>
      </w:r>
    </w:p>
    <w:p w14:paraId="52AA5DB7">
      <w:pPr>
        <w:rPr>
          <w:rFonts w:eastAsia="宋体"/>
          <w:lang w:val="en-US"/>
        </w:rPr>
      </w:pPr>
      <w:r>
        <w:rPr>
          <w:rFonts w:eastAsia="Malgun Gothic"/>
        </w:rPr>
        <w:t xml:space="preserve">Transmitter requirements for UL MIMO operation apply when the UE transmits on 2 ports on the same CDM group. The </w:t>
      </w:r>
      <w:r>
        <w:rPr>
          <w:rFonts w:eastAsia="宋体"/>
        </w:rPr>
        <w:t>UE may use higher MPR values outside this limitation.</w:t>
      </w:r>
    </w:p>
    <w:p w14:paraId="6CDA2532">
      <w:r>
        <w:t>The applicability of transmitter requirements for Band n90 is in accordance with that for Band n41; a UE supporting Band n90 shall meet the minimum requirements for Band n41.</w:t>
      </w:r>
    </w:p>
    <w:p w14:paraId="362352F0">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0" w:author="ZTE, Fei Xue" w:date="2025-05-07T22:26:36Z"/>
          <w:lang w:val="en-US" w:eastAsia="zh-CN"/>
        </w:rPr>
      </w:pPr>
      <w:ins w:id="1" w:author="ZTE, Fei Xue" w:date="2025-05-07T22:26:36Z">
        <w:r>
          <w:rPr>
            <w:lang w:val="en-US"/>
          </w:rPr>
          <w:t>For non-SBFD-aware UE, the “uplink symbols transmitted” used for uplink duty cycle evaluation are symbols with uplink transmission;</w:t>
        </w:r>
      </w:ins>
    </w:p>
    <w:p w14:paraId="09795528">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2" w:author="ZTE, Fei Xue" w:date="2025-03-26T17:25:40Z"/>
        </w:rPr>
      </w:pPr>
      <w:ins w:id="3" w:author="ZTE, Fei Xue" w:date="2025-05-07T22:26:36Z">
        <w:r>
          <w:rPr>
            <w:lang w:val="en-US"/>
          </w:rPr>
          <w:t>For SBFD-aware UE, the symbols used for uplink duty cycle evaluation are symbols with uplink transmission, including the non-SBFD symbols and SBFD symbols with UL transmission.</w:t>
        </w:r>
      </w:ins>
      <w:r>
        <w:rPr>
          <w:lang w:val="en-US"/>
        </w:rPr>
        <w:t xml:space="preserve">. </w:t>
      </w:r>
    </w:p>
    <w:p w14:paraId="2BBD08BE">
      <w:pPr>
        <w:pStyle w:val="52"/>
        <w:keepNext w:val="0"/>
        <w:keepLines w:val="0"/>
        <w:pageBreakBefore w:val="0"/>
        <w:kinsoku/>
        <w:wordWrap/>
        <w:overflowPunct/>
        <w:topLinePunct w:val="0"/>
        <w:autoSpaceDE/>
        <w:autoSpaceDN/>
        <w:bidi w:val="0"/>
        <w:adjustRightInd/>
        <w:snapToGrid/>
        <w:spacing w:after="0" w:line="260" w:lineRule="auto"/>
        <w:ind w:left="283" w:hanging="283"/>
        <w:textAlignment w:val="auto"/>
        <w:rPr>
          <w:rFonts w:hint="eastAsia"/>
          <w:szCs w:val="24"/>
          <w:lang w:val="en-US" w:eastAsia="zh-CN"/>
        </w:rPr>
      </w:pPr>
      <w:r>
        <w:rPr>
          <w:rFonts w:hint="eastAsia" w:eastAsia="宋体"/>
          <w:b/>
          <w:bCs/>
          <w:lang w:val="en-US" w:eastAsia="zh-CN"/>
        </w:rPr>
        <w:t>Proposal 2</w:t>
      </w:r>
      <w:r>
        <w:rPr>
          <w:rFonts w:hint="eastAsia" w:eastAsia="宋体"/>
          <w:lang w:val="en-US" w:eastAsia="zh-CN"/>
        </w:rPr>
        <w:t xml:space="preserve">: in order to simplify the spec change, </w:t>
      </w:r>
      <w:r>
        <w:rPr>
          <w:rFonts w:hint="eastAsia"/>
          <w:szCs w:val="24"/>
          <w:lang w:val="en-US" w:eastAsia="zh-CN"/>
        </w:rPr>
        <w:t>propose to add the following two sentence in the general section 6.1.</w:t>
      </w:r>
    </w:p>
    <w:p w14:paraId="2B25A554">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4" w:author="ZTE, Fei Xue" w:date="2025-05-07T22:26:36Z"/>
          <w:lang w:val="en-US" w:eastAsia="zh-CN"/>
        </w:rPr>
      </w:pPr>
      <w:ins w:id="5" w:author="ZTE, Fei Xue" w:date="2025-05-07T22:26:36Z">
        <w:r>
          <w:rPr>
            <w:lang w:val="en-US"/>
          </w:rPr>
          <w:t>For non-SBFD-aware UE, the “uplink symbols transmitted” used for uplink duty cycle evaluation are symbols with uplink transmission;</w:t>
        </w:r>
      </w:ins>
    </w:p>
    <w:p w14:paraId="223EBD2B">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rFonts w:hint="default" w:eastAsia="宋体"/>
          <w:lang w:val="en-US" w:eastAsia="zh-CN"/>
        </w:rPr>
      </w:pPr>
      <w:ins w:id="6" w:author="ZTE, Fei Xue" w:date="2025-05-07T22:26:36Z">
        <w:r>
          <w:rPr>
            <w:lang w:val="en-US"/>
          </w:rPr>
          <w:t>For SBFD-aware UE, the symbols used for uplink duty cycle evaluation are symbols with uplink transmission, including the non-SBFD symbols and SBFD symbols with UL transmission.</w:t>
        </w:r>
      </w:ins>
      <w:r>
        <w:rPr>
          <w:lang w:val="en-US"/>
        </w:rPr>
        <w:t xml:space="preserve">. </w:t>
      </w:r>
    </w:p>
    <w:p w14:paraId="25B6CA38">
      <w:pPr>
        <w:pStyle w:val="57"/>
        <w:tabs>
          <w:tab w:val="left" w:pos="567"/>
          <w:tab w:val="clear" w:pos="1985"/>
        </w:tabs>
        <w:adjustRightInd w:val="0"/>
        <w:ind w:left="510" w:hanging="510"/>
      </w:pPr>
      <w:r>
        <w:t>Conclusions</w:t>
      </w:r>
    </w:p>
    <w:p w14:paraId="357A619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further views on general aspects for SBFD BS and </w:t>
      </w:r>
      <w:r>
        <w:rPr>
          <w:rFonts w:hint="eastAsia" w:cs="Times New Roman"/>
          <w:sz w:val="20"/>
          <w:szCs w:val="20"/>
          <w:lang w:val="en-US" w:eastAsia="zh-CN"/>
        </w:rPr>
        <w:t>proposals/observations are made as following:</w:t>
      </w:r>
    </w:p>
    <w:p w14:paraId="0F5106E4">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1</w:t>
      </w:r>
      <w:r>
        <w:rPr>
          <w:rFonts w:hint="eastAsia"/>
          <w:szCs w:val="24"/>
          <w:lang w:val="en-US" w:eastAsia="zh-CN"/>
        </w:rPr>
        <w:t xml:space="preserve">: for FR1 MR SBFD BS, propose to use the 33dBm as TRP or </w:t>
      </w:r>
      <w:r>
        <w:rPr>
          <w:lang w:val="en-US"/>
        </w:rPr>
        <w:t xml:space="preserve">total conducted power </w:t>
      </w:r>
      <w:r>
        <w:rPr>
          <w:rFonts w:hint="eastAsia"/>
          <w:szCs w:val="24"/>
          <w:lang w:val="en-US" w:eastAsia="zh-CN"/>
        </w:rPr>
        <w:t>as the power threshold.</w:t>
      </w:r>
    </w:p>
    <w:p w14:paraId="0F92AF76">
      <w:pPr>
        <w:pStyle w:val="52"/>
        <w:keepNext w:val="0"/>
        <w:keepLines w:val="0"/>
        <w:pageBreakBefore w:val="0"/>
        <w:kinsoku/>
        <w:wordWrap/>
        <w:overflowPunct/>
        <w:topLinePunct w:val="0"/>
        <w:autoSpaceDE/>
        <w:autoSpaceDN/>
        <w:bidi w:val="0"/>
        <w:adjustRightInd/>
        <w:snapToGrid/>
        <w:spacing w:after="0" w:line="260" w:lineRule="auto"/>
        <w:ind w:left="283" w:hanging="283"/>
        <w:textAlignment w:val="auto"/>
        <w:rPr>
          <w:rFonts w:hint="eastAsia"/>
          <w:szCs w:val="24"/>
          <w:lang w:val="en-US" w:eastAsia="zh-CN"/>
        </w:rPr>
      </w:pPr>
      <w:r>
        <w:rPr>
          <w:rFonts w:hint="eastAsia" w:eastAsia="宋体"/>
          <w:b/>
          <w:bCs/>
          <w:lang w:val="en-US" w:eastAsia="zh-CN"/>
        </w:rPr>
        <w:t>Proposal 2</w:t>
      </w:r>
      <w:r>
        <w:rPr>
          <w:rFonts w:hint="eastAsia" w:eastAsia="宋体"/>
          <w:lang w:val="en-US" w:eastAsia="zh-CN"/>
        </w:rPr>
        <w:t xml:space="preserve">: in order to simplify the spec change, </w:t>
      </w:r>
      <w:r>
        <w:rPr>
          <w:rFonts w:hint="eastAsia"/>
          <w:szCs w:val="24"/>
          <w:lang w:val="en-US" w:eastAsia="zh-CN"/>
        </w:rPr>
        <w:t>propose to add the following two sentence in the general section 6.1.</w:t>
      </w:r>
    </w:p>
    <w:p w14:paraId="6AB3CDE8">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7" w:author="ZTE, Fei Xue" w:date="2025-05-07T22:26:36Z"/>
          <w:lang w:val="en-US" w:eastAsia="zh-CN"/>
        </w:rPr>
      </w:pPr>
      <w:ins w:id="8" w:author="ZTE, Fei Xue" w:date="2025-05-07T22:26:36Z">
        <w:r>
          <w:rPr>
            <w:lang w:val="en-US"/>
          </w:rPr>
          <w:t>For non-SBFD-aware UE, the “uplink symbols transmitted” used for uplink duty cycle evaluation are symbols with uplink transmission;</w:t>
        </w:r>
      </w:ins>
    </w:p>
    <w:p w14:paraId="61F308D0">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rFonts w:hint="default" w:eastAsia="宋体"/>
          <w:lang w:val="en-US" w:eastAsia="zh-CN"/>
        </w:rPr>
      </w:pPr>
      <w:ins w:id="9" w:author="ZTE, Fei Xue" w:date="2025-05-07T22:26:36Z">
        <w:r>
          <w:rPr>
            <w:lang w:val="en-US"/>
          </w:rPr>
          <w:t>For SBFD-aware UE, the symbols used for uplink duty cycle evaluation are symbols with uplink transmission, including the non-SBFD symbols and SBFD symbols with UL transmission.</w:t>
        </w:r>
      </w:ins>
      <w:r>
        <w:rPr>
          <w:lang w:val="en-US"/>
        </w:rPr>
        <w:t xml:space="preserve">. </w:t>
      </w:r>
    </w:p>
    <w:p w14:paraId="596822F9">
      <w:pPr>
        <w:pStyle w:val="57"/>
        <w:tabs>
          <w:tab w:val="left" w:pos="567"/>
          <w:tab w:val="clear" w:pos="1985"/>
        </w:tabs>
        <w:adjustRightInd w:val="0"/>
        <w:ind w:left="510" w:hanging="510"/>
      </w:pPr>
      <w:r>
        <w:t>References</w:t>
      </w:r>
    </w:p>
    <w:p w14:paraId="1457CE3A">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14:paraId="082508DD">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14:paraId="3420AFB9">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14:paraId="3510E308">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14:paraId="275D53E8">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14:paraId="28E12C9E">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 Approved.</w:t>
      </w:r>
    </w:p>
    <w:p w14:paraId="10FF5A8D">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w:t>
      </w:r>
    </w:p>
    <w:p w14:paraId="2FB1C1A8">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R4-1801031, WF on NR BS RF FRCs, approved.</w:t>
      </w:r>
    </w:p>
    <w:p w14:paraId="3F7E9715">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[113][306] NR_duplex_evo_General, Approved</w:t>
      </w:r>
    </w:p>
    <w:p w14:paraId="3688D20D">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R4-2419908</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[113][307] NR_duplex_evo_BSRF, Approved.</w:t>
      </w:r>
    </w:p>
    <w:p w14:paraId="1F03BE57">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R4-2501967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Further discussion on general aspects for SBFD system, Samsung</w:t>
      </w:r>
    </w:p>
    <w:p w14:paraId="0805B376">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R4-2502310</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[114][306] NR_duplex_evo_General, approved.</w:t>
      </w:r>
    </w:p>
    <w:p w14:paraId="640B4EEA">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R4-2502380</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[114][307] NR_duplex_evo_BSRF, approved.</w:t>
      </w:r>
    </w:p>
    <w:p w14:paraId="3B966CC8">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R4-2504751</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[114bis][306] NR_duplex_evo_General</w:t>
      </w:r>
    </w:p>
    <w:p w14:paraId="39628CE2">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R4-2508707 Way Forward for [115][306] NR_duplex_evo_General, approved</w:t>
      </w:r>
    </w:p>
    <w:p w14:paraId="5C3907C7">
      <w:pPr>
        <w:pStyle w:val="21"/>
        <w:numPr>
          <w:ilvl w:val="0"/>
          <w:numId w:val="0"/>
        </w:numPr>
        <w:shd w:val="clear" w:color="auto" w:fill="FFFFFF"/>
        <w:spacing w:before="60" w:after="0" w:line="300" w:lineRule="atLeast"/>
        <w:rPr>
          <w:rStyle w:val="30"/>
          <w:rFonts w:hint="eastAsia" w:ascii="Times New Roman" w:hAnsi="Times New Roman" w:cs="Times New Roman"/>
          <w:color w:val="auto"/>
          <w:sz w:val="21"/>
          <w:szCs w:val="21"/>
          <w:shd w:val="clear" w:color="auto" w:fill="FFFFFF"/>
        </w:rPr>
      </w:pPr>
    </w:p>
    <w:p w14:paraId="22F6E3B0">
      <w:pPr>
        <w:pStyle w:val="21"/>
        <w:numPr>
          <w:ilvl w:val="-1"/>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39E827C9">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3574A668">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44FC52C4">
      <w:pPr>
        <w:rPr>
          <w:rStyle w:val="30"/>
          <w:rFonts w:ascii="Times New Roman" w:hAnsi="Times New Roman" w:cs="Times New Roman"/>
          <w:color w:val="auto"/>
          <w:sz w:val="21"/>
          <w:szCs w:val="21"/>
          <w:shd w:val="clear" w:color="auto" w:fill="FFFFFF"/>
        </w:rPr>
      </w:pPr>
    </w:p>
    <w:p w14:paraId="3AE7C314">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88C76">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C26"/>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5C58"/>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1F20"/>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3B9"/>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450D74"/>
    <w:rsid w:val="01522256"/>
    <w:rsid w:val="01586859"/>
    <w:rsid w:val="01594895"/>
    <w:rsid w:val="015C06BF"/>
    <w:rsid w:val="015D1618"/>
    <w:rsid w:val="015F18F2"/>
    <w:rsid w:val="015F5FA3"/>
    <w:rsid w:val="016800B9"/>
    <w:rsid w:val="016B33B4"/>
    <w:rsid w:val="017007C4"/>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26B6A"/>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26E88"/>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4A2D"/>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5E218C"/>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3404ED"/>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0DA5"/>
    <w:rsid w:val="04FF76AB"/>
    <w:rsid w:val="05010225"/>
    <w:rsid w:val="051034CD"/>
    <w:rsid w:val="0512539C"/>
    <w:rsid w:val="051F43BC"/>
    <w:rsid w:val="0524197F"/>
    <w:rsid w:val="052432F7"/>
    <w:rsid w:val="05280A89"/>
    <w:rsid w:val="052D14A7"/>
    <w:rsid w:val="05340028"/>
    <w:rsid w:val="05367F8C"/>
    <w:rsid w:val="053C34DE"/>
    <w:rsid w:val="053E0EA6"/>
    <w:rsid w:val="053E1AC2"/>
    <w:rsid w:val="053E6829"/>
    <w:rsid w:val="05403ABE"/>
    <w:rsid w:val="0545651B"/>
    <w:rsid w:val="05484FD2"/>
    <w:rsid w:val="05504722"/>
    <w:rsid w:val="05564384"/>
    <w:rsid w:val="05583DC1"/>
    <w:rsid w:val="055A77BF"/>
    <w:rsid w:val="055C5DB2"/>
    <w:rsid w:val="055C75CE"/>
    <w:rsid w:val="05631D30"/>
    <w:rsid w:val="05687505"/>
    <w:rsid w:val="056F2E0E"/>
    <w:rsid w:val="05734531"/>
    <w:rsid w:val="05770CD5"/>
    <w:rsid w:val="05784E56"/>
    <w:rsid w:val="057C7AAB"/>
    <w:rsid w:val="057F0408"/>
    <w:rsid w:val="05804262"/>
    <w:rsid w:val="05816D10"/>
    <w:rsid w:val="058E6ED4"/>
    <w:rsid w:val="05930F73"/>
    <w:rsid w:val="05940F3F"/>
    <w:rsid w:val="059454B6"/>
    <w:rsid w:val="05991C8F"/>
    <w:rsid w:val="059E152E"/>
    <w:rsid w:val="059F1811"/>
    <w:rsid w:val="05A07D47"/>
    <w:rsid w:val="05A44B94"/>
    <w:rsid w:val="05A706E9"/>
    <w:rsid w:val="05AD341A"/>
    <w:rsid w:val="05B11A20"/>
    <w:rsid w:val="05B173DC"/>
    <w:rsid w:val="05B27D07"/>
    <w:rsid w:val="05B658ED"/>
    <w:rsid w:val="05B709C2"/>
    <w:rsid w:val="05B94895"/>
    <w:rsid w:val="05BC079D"/>
    <w:rsid w:val="05BE42A5"/>
    <w:rsid w:val="05C1056D"/>
    <w:rsid w:val="05C256BE"/>
    <w:rsid w:val="05CC32B8"/>
    <w:rsid w:val="05CD4878"/>
    <w:rsid w:val="05CE30B5"/>
    <w:rsid w:val="05D07FED"/>
    <w:rsid w:val="05D16BC6"/>
    <w:rsid w:val="05DC2707"/>
    <w:rsid w:val="05E660EA"/>
    <w:rsid w:val="05E73462"/>
    <w:rsid w:val="05EB0F6A"/>
    <w:rsid w:val="05EE3B4E"/>
    <w:rsid w:val="05FA1213"/>
    <w:rsid w:val="05FB01BC"/>
    <w:rsid w:val="05FF3135"/>
    <w:rsid w:val="060030B7"/>
    <w:rsid w:val="060836A6"/>
    <w:rsid w:val="06085010"/>
    <w:rsid w:val="0609042C"/>
    <w:rsid w:val="060C4293"/>
    <w:rsid w:val="060C5B07"/>
    <w:rsid w:val="060D249E"/>
    <w:rsid w:val="06111076"/>
    <w:rsid w:val="061146F4"/>
    <w:rsid w:val="06127E49"/>
    <w:rsid w:val="06187334"/>
    <w:rsid w:val="061D0CD9"/>
    <w:rsid w:val="062362D5"/>
    <w:rsid w:val="062734D4"/>
    <w:rsid w:val="062D742E"/>
    <w:rsid w:val="062F67AA"/>
    <w:rsid w:val="06382A58"/>
    <w:rsid w:val="063F20A9"/>
    <w:rsid w:val="064001EE"/>
    <w:rsid w:val="06420522"/>
    <w:rsid w:val="06441289"/>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4DCA"/>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E06AA"/>
    <w:rsid w:val="06EF6236"/>
    <w:rsid w:val="06F30672"/>
    <w:rsid w:val="06F35A7A"/>
    <w:rsid w:val="06F35AB6"/>
    <w:rsid w:val="06F66B05"/>
    <w:rsid w:val="06FC35DD"/>
    <w:rsid w:val="0702074E"/>
    <w:rsid w:val="0708086F"/>
    <w:rsid w:val="070C5A9E"/>
    <w:rsid w:val="071A77D5"/>
    <w:rsid w:val="071D08AB"/>
    <w:rsid w:val="07220D76"/>
    <w:rsid w:val="07233462"/>
    <w:rsid w:val="072717DA"/>
    <w:rsid w:val="072746E6"/>
    <w:rsid w:val="07277193"/>
    <w:rsid w:val="072A5F5B"/>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5A68"/>
    <w:rsid w:val="07F6635B"/>
    <w:rsid w:val="07F97CF9"/>
    <w:rsid w:val="07FA0BB7"/>
    <w:rsid w:val="0800676F"/>
    <w:rsid w:val="080511A2"/>
    <w:rsid w:val="080F4BCD"/>
    <w:rsid w:val="080F712A"/>
    <w:rsid w:val="08171593"/>
    <w:rsid w:val="0827264B"/>
    <w:rsid w:val="082A0972"/>
    <w:rsid w:val="0835476E"/>
    <w:rsid w:val="08367FC2"/>
    <w:rsid w:val="08391661"/>
    <w:rsid w:val="083B16CD"/>
    <w:rsid w:val="08400EAF"/>
    <w:rsid w:val="08455605"/>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E91129"/>
    <w:rsid w:val="08F10FA0"/>
    <w:rsid w:val="08F1525E"/>
    <w:rsid w:val="08F45A0C"/>
    <w:rsid w:val="08F5200D"/>
    <w:rsid w:val="08F719D2"/>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473D1"/>
    <w:rsid w:val="093B00AE"/>
    <w:rsid w:val="094109B5"/>
    <w:rsid w:val="09444B9B"/>
    <w:rsid w:val="09467185"/>
    <w:rsid w:val="09470556"/>
    <w:rsid w:val="09486BA4"/>
    <w:rsid w:val="0953050B"/>
    <w:rsid w:val="09546457"/>
    <w:rsid w:val="09573CE0"/>
    <w:rsid w:val="0958129F"/>
    <w:rsid w:val="09582472"/>
    <w:rsid w:val="095C5D9F"/>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5474F"/>
    <w:rsid w:val="098A1B59"/>
    <w:rsid w:val="098D22CE"/>
    <w:rsid w:val="09902C37"/>
    <w:rsid w:val="09915044"/>
    <w:rsid w:val="09957BB0"/>
    <w:rsid w:val="09972599"/>
    <w:rsid w:val="099D065B"/>
    <w:rsid w:val="099D22A1"/>
    <w:rsid w:val="09A545D9"/>
    <w:rsid w:val="09A64698"/>
    <w:rsid w:val="09A82D92"/>
    <w:rsid w:val="09A9204A"/>
    <w:rsid w:val="09AC5074"/>
    <w:rsid w:val="09AD07F3"/>
    <w:rsid w:val="09B14A34"/>
    <w:rsid w:val="09B91042"/>
    <w:rsid w:val="09B959E5"/>
    <w:rsid w:val="09BA1421"/>
    <w:rsid w:val="09BA5647"/>
    <w:rsid w:val="09BA5C5D"/>
    <w:rsid w:val="09BE4364"/>
    <w:rsid w:val="09C346F5"/>
    <w:rsid w:val="09C65D3C"/>
    <w:rsid w:val="09C819B3"/>
    <w:rsid w:val="09CA65A4"/>
    <w:rsid w:val="09CD6A58"/>
    <w:rsid w:val="09CD6EF5"/>
    <w:rsid w:val="09D34B3A"/>
    <w:rsid w:val="09D74395"/>
    <w:rsid w:val="09D80B45"/>
    <w:rsid w:val="09DC463F"/>
    <w:rsid w:val="09E14486"/>
    <w:rsid w:val="09E4648F"/>
    <w:rsid w:val="09EF097A"/>
    <w:rsid w:val="09EF4328"/>
    <w:rsid w:val="09F1407D"/>
    <w:rsid w:val="09F21427"/>
    <w:rsid w:val="09F22A67"/>
    <w:rsid w:val="09F451E7"/>
    <w:rsid w:val="0A093274"/>
    <w:rsid w:val="0A0E6073"/>
    <w:rsid w:val="0A145E2C"/>
    <w:rsid w:val="0A1A2E51"/>
    <w:rsid w:val="0A2102B8"/>
    <w:rsid w:val="0A223227"/>
    <w:rsid w:val="0A22459E"/>
    <w:rsid w:val="0A2334E2"/>
    <w:rsid w:val="0A24365D"/>
    <w:rsid w:val="0A2705E1"/>
    <w:rsid w:val="0A2A6A0B"/>
    <w:rsid w:val="0A2B1C45"/>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02205"/>
    <w:rsid w:val="0A843B9D"/>
    <w:rsid w:val="0A8621F2"/>
    <w:rsid w:val="0A8A7513"/>
    <w:rsid w:val="0A8C26DA"/>
    <w:rsid w:val="0A8C711B"/>
    <w:rsid w:val="0A8F1F9F"/>
    <w:rsid w:val="0A9124C9"/>
    <w:rsid w:val="0A9B6BF5"/>
    <w:rsid w:val="0A9E5B2C"/>
    <w:rsid w:val="0AA24BFF"/>
    <w:rsid w:val="0AA40CFE"/>
    <w:rsid w:val="0AA4164F"/>
    <w:rsid w:val="0AA50074"/>
    <w:rsid w:val="0AAB401F"/>
    <w:rsid w:val="0AAD5576"/>
    <w:rsid w:val="0AB329A9"/>
    <w:rsid w:val="0ABA55D8"/>
    <w:rsid w:val="0AC23AEF"/>
    <w:rsid w:val="0ACD4245"/>
    <w:rsid w:val="0AD007F3"/>
    <w:rsid w:val="0AD57FD6"/>
    <w:rsid w:val="0AD84FAB"/>
    <w:rsid w:val="0ADD7B55"/>
    <w:rsid w:val="0AE00E26"/>
    <w:rsid w:val="0AE70A68"/>
    <w:rsid w:val="0AF210B5"/>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417CA"/>
    <w:rsid w:val="0B2643BE"/>
    <w:rsid w:val="0B2B1908"/>
    <w:rsid w:val="0B2D66EE"/>
    <w:rsid w:val="0B365CE9"/>
    <w:rsid w:val="0B3F2432"/>
    <w:rsid w:val="0B4305A6"/>
    <w:rsid w:val="0B4746C8"/>
    <w:rsid w:val="0B47487E"/>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2E7B"/>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B72FD3"/>
    <w:rsid w:val="0BC00376"/>
    <w:rsid w:val="0BC739F0"/>
    <w:rsid w:val="0BCA5242"/>
    <w:rsid w:val="0BD21910"/>
    <w:rsid w:val="0BDA3782"/>
    <w:rsid w:val="0BDB5584"/>
    <w:rsid w:val="0BE0026A"/>
    <w:rsid w:val="0BE03DAA"/>
    <w:rsid w:val="0BE17727"/>
    <w:rsid w:val="0BE37D57"/>
    <w:rsid w:val="0BEC55E4"/>
    <w:rsid w:val="0BEF4F94"/>
    <w:rsid w:val="0BF427F9"/>
    <w:rsid w:val="0BF614B9"/>
    <w:rsid w:val="0BFF569C"/>
    <w:rsid w:val="0C0B2ABC"/>
    <w:rsid w:val="0C0C632D"/>
    <w:rsid w:val="0C120111"/>
    <w:rsid w:val="0C12447E"/>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6001A"/>
    <w:rsid w:val="0C8726EC"/>
    <w:rsid w:val="0C873353"/>
    <w:rsid w:val="0C873CA6"/>
    <w:rsid w:val="0C880B44"/>
    <w:rsid w:val="0C885C99"/>
    <w:rsid w:val="0C8B4B61"/>
    <w:rsid w:val="0C9A4387"/>
    <w:rsid w:val="0C9D3F03"/>
    <w:rsid w:val="0CA1546A"/>
    <w:rsid w:val="0CA4660D"/>
    <w:rsid w:val="0CA46672"/>
    <w:rsid w:val="0CA92BAC"/>
    <w:rsid w:val="0CAB48C6"/>
    <w:rsid w:val="0CAC2B9A"/>
    <w:rsid w:val="0CB02A2E"/>
    <w:rsid w:val="0CB07BBB"/>
    <w:rsid w:val="0CB176C1"/>
    <w:rsid w:val="0CB471A1"/>
    <w:rsid w:val="0CB90F2E"/>
    <w:rsid w:val="0CBB5A0F"/>
    <w:rsid w:val="0CCD3B1C"/>
    <w:rsid w:val="0CD648E3"/>
    <w:rsid w:val="0CE245F1"/>
    <w:rsid w:val="0CE33A19"/>
    <w:rsid w:val="0CE4001E"/>
    <w:rsid w:val="0CF5634C"/>
    <w:rsid w:val="0D0213CD"/>
    <w:rsid w:val="0D0271E7"/>
    <w:rsid w:val="0D04575D"/>
    <w:rsid w:val="0D051E9D"/>
    <w:rsid w:val="0D0612B8"/>
    <w:rsid w:val="0D066A9C"/>
    <w:rsid w:val="0D0714BC"/>
    <w:rsid w:val="0D076826"/>
    <w:rsid w:val="0D0A1D55"/>
    <w:rsid w:val="0D0C08C0"/>
    <w:rsid w:val="0D0F2DCE"/>
    <w:rsid w:val="0D136EF9"/>
    <w:rsid w:val="0D1A52C8"/>
    <w:rsid w:val="0D1B783B"/>
    <w:rsid w:val="0D1C1D16"/>
    <w:rsid w:val="0D21615D"/>
    <w:rsid w:val="0D2454BF"/>
    <w:rsid w:val="0D2767B5"/>
    <w:rsid w:val="0D287B86"/>
    <w:rsid w:val="0D39789E"/>
    <w:rsid w:val="0D3E327E"/>
    <w:rsid w:val="0D3E50C9"/>
    <w:rsid w:val="0D432A3E"/>
    <w:rsid w:val="0D480AA9"/>
    <w:rsid w:val="0D4D56D6"/>
    <w:rsid w:val="0D4D637D"/>
    <w:rsid w:val="0D505C1B"/>
    <w:rsid w:val="0D5800C7"/>
    <w:rsid w:val="0D5B6E86"/>
    <w:rsid w:val="0D604B9B"/>
    <w:rsid w:val="0D611BD6"/>
    <w:rsid w:val="0D63712E"/>
    <w:rsid w:val="0D647BCA"/>
    <w:rsid w:val="0D671DC3"/>
    <w:rsid w:val="0D6A353C"/>
    <w:rsid w:val="0D746722"/>
    <w:rsid w:val="0D771AFB"/>
    <w:rsid w:val="0D7969D7"/>
    <w:rsid w:val="0D821B4C"/>
    <w:rsid w:val="0D826C81"/>
    <w:rsid w:val="0D845BD8"/>
    <w:rsid w:val="0D8D0698"/>
    <w:rsid w:val="0D904522"/>
    <w:rsid w:val="0D914B10"/>
    <w:rsid w:val="0D976014"/>
    <w:rsid w:val="0D992ECC"/>
    <w:rsid w:val="0DA060E8"/>
    <w:rsid w:val="0DA21DEB"/>
    <w:rsid w:val="0DA57AAE"/>
    <w:rsid w:val="0DA67711"/>
    <w:rsid w:val="0DAE2F9F"/>
    <w:rsid w:val="0DB44F15"/>
    <w:rsid w:val="0DB51551"/>
    <w:rsid w:val="0DB76EF8"/>
    <w:rsid w:val="0DB8079D"/>
    <w:rsid w:val="0DBD4932"/>
    <w:rsid w:val="0DC80C38"/>
    <w:rsid w:val="0DCE36F3"/>
    <w:rsid w:val="0DCF7F93"/>
    <w:rsid w:val="0DD611B6"/>
    <w:rsid w:val="0DD621E4"/>
    <w:rsid w:val="0DD65208"/>
    <w:rsid w:val="0DD933E8"/>
    <w:rsid w:val="0DDD2372"/>
    <w:rsid w:val="0DDE1317"/>
    <w:rsid w:val="0DE55D4A"/>
    <w:rsid w:val="0DE94479"/>
    <w:rsid w:val="0DEE77C3"/>
    <w:rsid w:val="0DF0225F"/>
    <w:rsid w:val="0DF367C2"/>
    <w:rsid w:val="0DFC48AF"/>
    <w:rsid w:val="0DFF2594"/>
    <w:rsid w:val="0E0013EF"/>
    <w:rsid w:val="0E0313B1"/>
    <w:rsid w:val="0E043FF3"/>
    <w:rsid w:val="0E062A96"/>
    <w:rsid w:val="0E0D1A47"/>
    <w:rsid w:val="0E1619F9"/>
    <w:rsid w:val="0E176FCD"/>
    <w:rsid w:val="0E193FCB"/>
    <w:rsid w:val="0E1A4909"/>
    <w:rsid w:val="0E1C0C6C"/>
    <w:rsid w:val="0E2134C9"/>
    <w:rsid w:val="0E232F90"/>
    <w:rsid w:val="0E281319"/>
    <w:rsid w:val="0E2A54B6"/>
    <w:rsid w:val="0E3217E8"/>
    <w:rsid w:val="0E387AA5"/>
    <w:rsid w:val="0E393B3A"/>
    <w:rsid w:val="0E3E3C06"/>
    <w:rsid w:val="0E3F0E9A"/>
    <w:rsid w:val="0E400D03"/>
    <w:rsid w:val="0E406D5C"/>
    <w:rsid w:val="0E454D4E"/>
    <w:rsid w:val="0E485C9B"/>
    <w:rsid w:val="0E4D4B22"/>
    <w:rsid w:val="0E546E58"/>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26536"/>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862C4"/>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767D8"/>
    <w:rsid w:val="0F9A3D44"/>
    <w:rsid w:val="0FA11695"/>
    <w:rsid w:val="0FA26E81"/>
    <w:rsid w:val="0FA615E1"/>
    <w:rsid w:val="0FAB0EE6"/>
    <w:rsid w:val="0FAD0019"/>
    <w:rsid w:val="0FAD3299"/>
    <w:rsid w:val="0FAD3F5A"/>
    <w:rsid w:val="0FB261C9"/>
    <w:rsid w:val="0FB31343"/>
    <w:rsid w:val="0FB714C3"/>
    <w:rsid w:val="0FC12836"/>
    <w:rsid w:val="0FC427AC"/>
    <w:rsid w:val="0FC85DA6"/>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57EE1"/>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0FE773C"/>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73922"/>
    <w:rsid w:val="116A3BB2"/>
    <w:rsid w:val="116F3C27"/>
    <w:rsid w:val="11703DE0"/>
    <w:rsid w:val="117338ED"/>
    <w:rsid w:val="117561EB"/>
    <w:rsid w:val="11781FEE"/>
    <w:rsid w:val="117824F0"/>
    <w:rsid w:val="117C0E8B"/>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177A"/>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72203"/>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05C2A"/>
    <w:rsid w:val="12E302DA"/>
    <w:rsid w:val="12EC215C"/>
    <w:rsid w:val="12EC296B"/>
    <w:rsid w:val="12ED7EEF"/>
    <w:rsid w:val="12EE6AFD"/>
    <w:rsid w:val="12F25FF2"/>
    <w:rsid w:val="12F538D3"/>
    <w:rsid w:val="12F85F0D"/>
    <w:rsid w:val="12F97513"/>
    <w:rsid w:val="12FA6C0E"/>
    <w:rsid w:val="12FB7F3D"/>
    <w:rsid w:val="13017E6E"/>
    <w:rsid w:val="130611C7"/>
    <w:rsid w:val="1306326A"/>
    <w:rsid w:val="130C7624"/>
    <w:rsid w:val="130D7CA1"/>
    <w:rsid w:val="130E4C12"/>
    <w:rsid w:val="131046DE"/>
    <w:rsid w:val="13111ECF"/>
    <w:rsid w:val="13166FBF"/>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2DB6"/>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7ED8"/>
    <w:rsid w:val="13B35E26"/>
    <w:rsid w:val="13B42C01"/>
    <w:rsid w:val="13B445AD"/>
    <w:rsid w:val="13B45BB1"/>
    <w:rsid w:val="13B66BD2"/>
    <w:rsid w:val="13BF66BA"/>
    <w:rsid w:val="13C152E0"/>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8D505F"/>
    <w:rsid w:val="14907014"/>
    <w:rsid w:val="149220F8"/>
    <w:rsid w:val="149363B8"/>
    <w:rsid w:val="149E0A7B"/>
    <w:rsid w:val="149E4840"/>
    <w:rsid w:val="14A75504"/>
    <w:rsid w:val="14A82A63"/>
    <w:rsid w:val="14A86EA4"/>
    <w:rsid w:val="14AC358C"/>
    <w:rsid w:val="14AD2764"/>
    <w:rsid w:val="14B227CC"/>
    <w:rsid w:val="14B22D17"/>
    <w:rsid w:val="14B76730"/>
    <w:rsid w:val="14C42DC7"/>
    <w:rsid w:val="14C767C8"/>
    <w:rsid w:val="14C80FD5"/>
    <w:rsid w:val="14D326F5"/>
    <w:rsid w:val="14D57649"/>
    <w:rsid w:val="14DB1D1B"/>
    <w:rsid w:val="14DE753E"/>
    <w:rsid w:val="14E64628"/>
    <w:rsid w:val="14E81AD4"/>
    <w:rsid w:val="14E90BE6"/>
    <w:rsid w:val="14EF1CF0"/>
    <w:rsid w:val="14F16663"/>
    <w:rsid w:val="14F37724"/>
    <w:rsid w:val="14F51028"/>
    <w:rsid w:val="14F549EC"/>
    <w:rsid w:val="14F92549"/>
    <w:rsid w:val="14FB4950"/>
    <w:rsid w:val="14FD0138"/>
    <w:rsid w:val="14FD4800"/>
    <w:rsid w:val="14FE45D8"/>
    <w:rsid w:val="14FE6347"/>
    <w:rsid w:val="150650CB"/>
    <w:rsid w:val="150E6B8B"/>
    <w:rsid w:val="15120542"/>
    <w:rsid w:val="15156C3A"/>
    <w:rsid w:val="15157DF4"/>
    <w:rsid w:val="151B0462"/>
    <w:rsid w:val="151C45D8"/>
    <w:rsid w:val="151C793F"/>
    <w:rsid w:val="15241022"/>
    <w:rsid w:val="15290336"/>
    <w:rsid w:val="15297BD7"/>
    <w:rsid w:val="152E6293"/>
    <w:rsid w:val="15325A1E"/>
    <w:rsid w:val="153B59AE"/>
    <w:rsid w:val="154107F7"/>
    <w:rsid w:val="1542012A"/>
    <w:rsid w:val="15422ACA"/>
    <w:rsid w:val="154D4A84"/>
    <w:rsid w:val="155424D6"/>
    <w:rsid w:val="155605E9"/>
    <w:rsid w:val="15593193"/>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6E2C6E"/>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234A2"/>
    <w:rsid w:val="16BA18A0"/>
    <w:rsid w:val="16BA7C07"/>
    <w:rsid w:val="16BB00CB"/>
    <w:rsid w:val="16BD160C"/>
    <w:rsid w:val="16BE109A"/>
    <w:rsid w:val="16C066C7"/>
    <w:rsid w:val="16C2724F"/>
    <w:rsid w:val="16C41FCF"/>
    <w:rsid w:val="16C455CB"/>
    <w:rsid w:val="16C84A74"/>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0E7A70"/>
    <w:rsid w:val="171053FC"/>
    <w:rsid w:val="17123BAE"/>
    <w:rsid w:val="17137BE1"/>
    <w:rsid w:val="1715378E"/>
    <w:rsid w:val="17172D0A"/>
    <w:rsid w:val="17173F3A"/>
    <w:rsid w:val="171E4694"/>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9C448A"/>
    <w:rsid w:val="179D7CAF"/>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A4D98"/>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4C0524"/>
    <w:rsid w:val="18524B4C"/>
    <w:rsid w:val="18533B98"/>
    <w:rsid w:val="185460E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9C3A15"/>
    <w:rsid w:val="18A16B9A"/>
    <w:rsid w:val="18A5427C"/>
    <w:rsid w:val="18A94FC3"/>
    <w:rsid w:val="18AB1905"/>
    <w:rsid w:val="18AC724D"/>
    <w:rsid w:val="18AF5199"/>
    <w:rsid w:val="18AF7C5B"/>
    <w:rsid w:val="18B232E6"/>
    <w:rsid w:val="18B417E1"/>
    <w:rsid w:val="18B61C67"/>
    <w:rsid w:val="18C0323C"/>
    <w:rsid w:val="18C2724C"/>
    <w:rsid w:val="18C53928"/>
    <w:rsid w:val="18C9246D"/>
    <w:rsid w:val="18CC589D"/>
    <w:rsid w:val="18CC75E7"/>
    <w:rsid w:val="18CF7D05"/>
    <w:rsid w:val="18D303E1"/>
    <w:rsid w:val="18D979C0"/>
    <w:rsid w:val="18DA6CE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594D"/>
    <w:rsid w:val="19191340"/>
    <w:rsid w:val="191A7BCC"/>
    <w:rsid w:val="191C5792"/>
    <w:rsid w:val="191F3DE5"/>
    <w:rsid w:val="19200B97"/>
    <w:rsid w:val="19225236"/>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94DE5"/>
    <w:rsid w:val="19BB7983"/>
    <w:rsid w:val="19CA4702"/>
    <w:rsid w:val="19CD414F"/>
    <w:rsid w:val="19D01D27"/>
    <w:rsid w:val="19D73048"/>
    <w:rsid w:val="19D76F77"/>
    <w:rsid w:val="19DC3901"/>
    <w:rsid w:val="19DE7440"/>
    <w:rsid w:val="19E45BB3"/>
    <w:rsid w:val="19EA4D01"/>
    <w:rsid w:val="19EA5232"/>
    <w:rsid w:val="19ED386F"/>
    <w:rsid w:val="19F90091"/>
    <w:rsid w:val="19F91F18"/>
    <w:rsid w:val="19FF1298"/>
    <w:rsid w:val="1A03072C"/>
    <w:rsid w:val="1A045B87"/>
    <w:rsid w:val="1A063C11"/>
    <w:rsid w:val="1A0D7EB1"/>
    <w:rsid w:val="1A0F772D"/>
    <w:rsid w:val="1A144205"/>
    <w:rsid w:val="1A1844C7"/>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9771B"/>
    <w:rsid w:val="1A7A2EF9"/>
    <w:rsid w:val="1A7F4EDC"/>
    <w:rsid w:val="1A813E2C"/>
    <w:rsid w:val="1A825AAA"/>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1F4E7E"/>
    <w:rsid w:val="1B223C37"/>
    <w:rsid w:val="1B245991"/>
    <w:rsid w:val="1B2A7E36"/>
    <w:rsid w:val="1B2F42C3"/>
    <w:rsid w:val="1B315167"/>
    <w:rsid w:val="1B324397"/>
    <w:rsid w:val="1B3462E9"/>
    <w:rsid w:val="1B372EB9"/>
    <w:rsid w:val="1B39636C"/>
    <w:rsid w:val="1B3C488F"/>
    <w:rsid w:val="1B3D4F7E"/>
    <w:rsid w:val="1B40005E"/>
    <w:rsid w:val="1B4268B4"/>
    <w:rsid w:val="1B427936"/>
    <w:rsid w:val="1B585A09"/>
    <w:rsid w:val="1B5D3106"/>
    <w:rsid w:val="1B6720A5"/>
    <w:rsid w:val="1B674CFE"/>
    <w:rsid w:val="1B68108C"/>
    <w:rsid w:val="1B716070"/>
    <w:rsid w:val="1B724307"/>
    <w:rsid w:val="1B73181B"/>
    <w:rsid w:val="1B7906CE"/>
    <w:rsid w:val="1B7B0258"/>
    <w:rsid w:val="1B7D07F3"/>
    <w:rsid w:val="1B811695"/>
    <w:rsid w:val="1B831B2B"/>
    <w:rsid w:val="1B853A57"/>
    <w:rsid w:val="1B9219EE"/>
    <w:rsid w:val="1B9307F8"/>
    <w:rsid w:val="1B944685"/>
    <w:rsid w:val="1B944F2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03731"/>
    <w:rsid w:val="1C441419"/>
    <w:rsid w:val="1C4774DD"/>
    <w:rsid w:val="1C4A45C4"/>
    <w:rsid w:val="1C4B3310"/>
    <w:rsid w:val="1C561E66"/>
    <w:rsid w:val="1C5E3742"/>
    <w:rsid w:val="1C5F23B1"/>
    <w:rsid w:val="1C67631F"/>
    <w:rsid w:val="1C6B3493"/>
    <w:rsid w:val="1C6D07BF"/>
    <w:rsid w:val="1C6D4144"/>
    <w:rsid w:val="1C6E50DD"/>
    <w:rsid w:val="1C726EC3"/>
    <w:rsid w:val="1C793EB9"/>
    <w:rsid w:val="1C7B65E1"/>
    <w:rsid w:val="1C807142"/>
    <w:rsid w:val="1C90266F"/>
    <w:rsid w:val="1C9A166E"/>
    <w:rsid w:val="1C9C48A7"/>
    <w:rsid w:val="1C9F727F"/>
    <w:rsid w:val="1CA16CCE"/>
    <w:rsid w:val="1CA4388D"/>
    <w:rsid w:val="1CAA7318"/>
    <w:rsid w:val="1CAB1830"/>
    <w:rsid w:val="1CAD2752"/>
    <w:rsid w:val="1CB702E9"/>
    <w:rsid w:val="1CB96BAD"/>
    <w:rsid w:val="1CBA5B32"/>
    <w:rsid w:val="1CBE0F85"/>
    <w:rsid w:val="1CBE5026"/>
    <w:rsid w:val="1CC1651E"/>
    <w:rsid w:val="1CC17F9B"/>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A2C34"/>
    <w:rsid w:val="1D0B731D"/>
    <w:rsid w:val="1D0C28B4"/>
    <w:rsid w:val="1D163452"/>
    <w:rsid w:val="1D1D6A68"/>
    <w:rsid w:val="1D1F1D0C"/>
    <w:rsid w:val="1D1F4CC2"/>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10BD4"/>
    <w:rsid w:val="1D83599D"/>
    <w:rsid w:val="1D8F5B72"/>
    <w:rsid w:val="1D8F6826"/>
    <w:rsid w:val="1D8F6DA9"/>
    <w:rsid w:val="1D9B69B7"/>
    <w:rsid w:val="1D9C5DA0"/>
    <w:rsid w:val="1D9C7126"/>
    <w:rsid w:val="1D9F251A"/>
    <w:rsid w:val="1D9F462B"/>
    <w:rsid w:val="1DA1442D"/>
    <w:rsid w:val="1DA265B5"/>
    <w:rsid w:val="1DB26ED0"/>
    <w:rsid w:val="1DB835A9"/>
    <w:rsid w:val="1DC254A8"/>
    <w:rsid w:val="1DC603E1"/>
    <w:rsid w:val="1DC7780B"/>
    <w:rsid w:val="1DCB43AF"/>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22A5"/>
    <w:rsid w:val="1EDB6C5F"/>
    <w:rsid w:val="1EE36B24"/>
    <w:rsid w:val="1EE4433F"/>
    <w:rsid w:val="1EE6740D"/>
    <w:rsid w:val="1EEC1621"/>
    <w:rsid w:val="1EED7A29"/>
    <w:rsid w:val="1F0D14F3"/>
    <w:rsid w:val="1F0E3B92"/>
    <w:rsid w:val="1F120D07"/>
    <w:rsid w:val="1F141EF2"/>
    <w:rsid w:val="1F21282A"/>
    <w:rsid w:val="1F274302"/>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01238"/>
    <w:rsid w:val="1F7959F4"/>
    <w:rsid w:val="1F7C19E4"/>
    <w:rsid w:val="1F83562C"/>
    <w:rsid w:val="1F8653B7"/>
    <w:rsid w:val="1F8A5F10"/>
    <w:rsid w:val="1F8F76AD"/>
    <w:rsid w:val="1F947917"/>
    <w:rsid w:val="1FA12A08"/>
    <w:rsid w:val="1FA732AF"/>
    <w:rsid w:val="1FA82FF9"/>
    <w:rsid w:val="1FAC192E"/>
    <w:rsid w:val="1FAD796D"/>
    <w:rsid w:val="1FB01266"/>
    <w:rsid w:val="1FB260BE"/>
    <w:rsid w:val="1FB34CAE"/>
    <w:rsid w:val="1FB54204"/>
    <w:rsid w:val="1FB63655"/>
    <w:rsid w:val="1FBA0563"/>
    <w:rsid w:val="1FBC7140"/>
    <w:rsid w:val="1FBD7AAE"/>
    <w:rsid w:val="1FBE77B2"/>
    <w:rsid w:val="1FBF2E17"/>
    <w:rsid w:val="1FC26AB9"/>
    <w:rsid w:val="1FC46F9E"/>
    <w:rsid w:val="1FC511F0"/>
    <w:rsid w:val="1FC7659B"/>
    <w:rsid w:val="1FCC04EE"/>
    <w:rsid w:val="1FD35404"/>
    <w:rsid w:val="1FDD4046"/>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3E5DA7"/>
    <w:rsid w:val="20420995"/>
    <w:rsid w:val="20447B3E"/>
    <w:rsid w:val="204619A3"/>
    <w:rsid w:val="20463A2C"/>
    <w:rsid w:val="204D7AED"/>
    <w:rsid w:val="204E2A57"/>
    <w:rsid w:val="204F595B"/>
    <w:rsid w:val="2051593C"/>
    <w:rsid w:val="20532924"/>
    <w:rsid w:val="2055294B"/>
    <w:rsid w:val="20554899"/>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46E3E"/>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0F504D"/>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C64E4"/>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350BE"/>
    <w:rsid w:val="21AA5245"/>
    <w:rsid w:val="21AB4F6A"/>
    <w:rsid w:val="21AB77F7"/>
    <w:rsid w:val="21AC4ECC"/>
    <w:rsid w:val="21AD30AE"/>
    <w:rsid w:val="21AE2E78"/>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96184"/>
    <w:rsid w:val="221D5970"/>
    <w:rsid w:val="221E498F"/>
    <w:rsid w:val="222165C4"/>
    <w:rsid w:val="2225227E"/>
    <w:rsid w:val="222A2727"/>
    <w:rsid w:val="222E6801"/>
    <w:rsid w:val="222F381A"/>
    <w:rsid w:val="22315922"/>
    <w:rsid w:val="22331C36"/>
    <w:rsid w:val="22343124"/>
    <w:rsid w:val="22352DCD"/>
    <w:rsid w:val="22454AA6"/>
    <w:rsid w:val="22484790"/>
    <w:rsid w:val="224D0005"/>
    <w:rsid w:val="224E39DE"/>
    <w:rsid w:val="224E74D0"/>
    <w:rsid w:val="22510B7D"/>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5F299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3FF43E5"/>
    <w:rsid w:val="24090775"/>
    <w:rsid w:val="240A6080"/>
    <w:rsid w:val="240C0FAD"/>
    <w:rsid w:val="240C55E5"/>
    <w:rsid w:val="240E5D2B"/>
    <w:rsid w:val="24137B5B"/>
    <w:rsid w:val="24176341"/>
    <w:rsid w:val="24194B93"/>
    <w:rsid w:val="241E1F2D"/>
    <w:rsid w:val="24211333"/>
    <w:rsid w:val="242461D7"/>
    <w:rsid w:val="24246A60"/>
    <w:rsid w:val="24255B0A"/>
    <w:rsid w:val="24264B88"/>
    <w:rsid w:val="242752F5"/>
    <w:rsid w:val="242778EB"/>
    <w:rsid w:val="242A43E1"/>
    <w:rsid w:val="242B2B26"/>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26F73"/>
    <w:rsid w:val="24E57853"/>
    <w:rsid w:val="24E77BE6"/>
    <w:rsid w:val="24ED2761"/>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5674"/>
    <w:rsid w:val="25771B32"/>
    <w:rsid w:val="257C1A72"/>
    <w:rsid w:val="257C2374"/>
    <w:rsid w:val="257C76CA"/>
    <w:rsid w:val="257F18B5"/>
    <w:rsid w:val="25805FF5"/>
    <w:rsid w:val="25880457"/>
    <w:rsid w:val="258A3283"/>
    <w:rsid w:val="258E5E2C"/>
    <w:rsid w:val="258E66DC"/>
    <w:rsid w:val="258F15BB"/>
    <w:rsid w:val="259049AF"/>
    <w:rsid w:val="259231BD"/>
    <w:rsid w:val="259B0F56"/>
    <w:rsid w:val="25A77DD4"/>
    <w:rsid w:val="25AA4DC2"/>
    <w:rsid w:val="25AD3F3E"/>
    <w:rsid w:val="25AE0C1E"/>
    <w:rsid w:val="25B36313"/>
    <w:rsid w:val="25BB6C64"/>
    <w:rsid w:val="25BC3040"/>
    <w:rsid w:val="25C14C9E"/>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422BD"/>
    <w:rsid w:val="2618762A"/>
    <w:rsid w:val="26217848"/>
    <w:rsid w:val="2625247E"/>
    <w:rsid w:val="262E20E8"/>
    <w:rsid w:val="262E34C1"/>
    <w:rsid w:val="2636356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5D5"/>
    <w:rsid w:val="269C594C"/>
    <w:rsid w:val="26A17EEF"/>
    <w:rsid w:val="26A4288C"/>
    <w:rsid w:val="26A608EC"/>
    <w:rsid w:val="26A63366"/>
    <w:rsid w:val="26A968B5"/>
    <w:rsid w:val="26AA5F44"/>
    <w:rsid w:val="26AC5BFD"/>
    <w:rsid w:val="26B31383"/>
    <w:rsid w:val="26B62E73"/>
    <w:rsid w:val="26B9766D"/>
    <w:rsid w:val="26BA4CB7"/>
    <w:rsid w:val="26BA59F2"/>
    <w:rsid w:val="26BD1ECD"/>
    <w:rsid w:val="26C16945"/>
    <w:rsid w:val="26C36DE5"/>
    <w:rsid w:val="26C62652"/>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A6B1F"/>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237B"/>
    <w:rsid w:val="27625732"/>
    <w:rsid w:val="276320D7"/>
    <w:rsid w:val="27671621"/>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318DD"/>
    <w:rsid w:val="27B91021"/>
    <w:rsid w:val="27BA3133"/>
    <w:rsid w:val="27C06D17"/>
    <w:rsid w:val="27C66099"/>
    <w:rsid w:val="27CA7CDA"/>
    <w:rsid w:val="27D30EC2"/>
    <w:rsid w:val="27DF1D24"/>
    <w:rsid w:val="27E1545A"/>
    <w:rsid w:val="27E30D7E"/>
    <w:rsid w:val="27E43C95"/>
    <w:rsid w:val="27EE3C0E"/>
    <w:rsid w:val="27F20EFC"/>
    <w:rsid w:val="27FB11A8"/>
    <w:rsid w:val="27FE4240"/>
    <w:rsid w:val="27FF2D7D"/>
    <w:rsid w:val="280008FF"/>
    <w:rsid w:val="28050D91"/>
    <w:rsid w:val="280A73A7"/>
    <w:rsid w:val="280B0292"/>
    <w:rsid w:val="280E65D3"/>
    <w:rsid w:val="281035C6"/>
    <w:rsid w:val="28140E2A"/>
    <w:rsid w:val="28172739"/>
    <w:rsid w:val="281E2746"/>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7D3C7E"/>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D036A"/>
    <w:rsid w:val="28EF40E2"/>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0604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A0B7E"/>
    <w:rsid w:val="297D1A8B"/>
    <w:rsid w:val="29817476"/>
    <w:rsid w:val="29867EFF"/>
    <w:rsid w:val="298A3E0B"/>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8521C"/>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973B2"/>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6C77E2"/>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164F"/>
    <w:rsid w:val="2AB04937"/>
    <w:rsid w:val="2AB1542B"/>
    <w:rsid w:val="2AB86677"/>
    <w:rsid w:val="2ABA266F"/>
    <w:rsid w:val="2ABC2E55"/>
    <w:rsid w:val="2AC34F07"/>
    <w:rsid w:val="2AC90132"/>
    <w:rsid w:val="2ACF5AEC"/>
    <w:rsid w:val="2AD62AB0"/>
    <w:rsid w:val="2AD63161"/>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26DED"/>
    <w:rsid w:val="2B662258"/>
    <w:rsid w:val="2B685EFF"/>
    <w:rsid w:val="2B686C09"/>
    <w:rsid w:val="2B6F254A"/>
    <w:rsid w:val="2B747A21"/>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55C0E"/>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402A1"/>
    <w:rsid w:val="2C4725E8"/>
    <w:rsid w:val="2C4D767D"/>
    <w:rsid w:val="2C5514C6"/>
    <w:rsid w:val="2C5618CF"/>
    <w:rsid w:val="2C5B6D3D"/>
    <w:rsid w:val="2C5C2032"/>
    <w:rsid w:val="2C5C2EB0"/>
    <w:rsid w:val="2C5E21B4"/>
    <w:rsid w:val="2C5F0C97"/>
    <w:rsid w:val="2C5F550C"/>
    <w:rsid w:val="2C677A44"/>
    <w:rsid w:val="2C6B4038"/>
    <w:rsid w:val="2C72088D"/>
    <w:rsid w:val="2C7A3BB0"/>
    <w:rsid w:val="2C7A4688"/>
    <w:rsid w:val="2C7B3727"/>
    <w:rsid w:val="2C7D6665"/>
    <w:rsid w:val="2C7E0668"/>
    <w:rsid w:val="2C7E4570"/>
    <w:rsid w:val="2C803A9A"/>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DF443D"/>
    <w:rsid w:val="2CE128DC"/>
    <w:rsid w:val="2CE16D71"/>
    <w:rsid w:val="2CE27F26"/>
    <w:rsid w:val="2CE35D0C"/>
    <w:rsid w:val="2CED6828"/>
    <w:rsid w:val="2CF4201A"/>
    <w:rsid w:val="2CF8269C"/>
    <w:rsid w:val="2CFC59D8"/>
    <w:rsid w:val="2CFD5C64"/>
    <w:rsid w:val="2CFF5200"/>
    <w:rsid w:val="2D0128E8"/>
    <w:rsid w:val="2D0450C7"/>
    <w:rsid w:val="2D0C5A2F"/>
    <w:rsid w:val="2D0E231B"/>
    <w:rsid w:val="2D145154"/>
    <w:rsid w:val="2D1A1A6B"/>
    <w:rsid w:val="2D1A4915"/>
    <w:rsid w:val="2D1C4D7A"/>
    <w:rsid w:val="2D1C670F"/>
    <w:rsid w:val="2D1E6D44"/>
    <w:rsid w:val="2D210212"/>
    <w:rsid w:val="2D306B85"/>
    <w:rsid w:val="2D313196"/>
    <w:rsid w:val="2D323D75"/>
    <w:rsid w:val="2D371BB4"/>
    <w:rsid w:val="2D3F06B2"/>
    <w:rsid w:val="2D400A9F"/>
    <w:rsid w:val="2D540857"/>
    <w:rsid w:val="2D590555"/>
    <w:rsid w:val="2D617E8E"/>
    <w:rsid w:val="2D726428"/>
    <w:rsid w:val="2D770975"/>
    <w:rsid w:val="2D7A06F1"/>
    <w:rsid w:val="2D8151A4"/>
    <w:rsid w:val="2DA02E9C"/>
    <w:rsid w:val="2DAC4521"/>
    <w:rsid w:val="2DAE1AE5"/>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17334"/>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A598B"/>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7E1D1C"/>
    <w:rsid w:val="2F805714"/>
    <w:rsid w:val="2F811998"/>
    <w:rsid w:val="2F8640C4"/>
    <w:rsid w:val="2F8E5F5C"/>
    <w:rsid w:val="2F921FAC"/>
    <w:rsid w:val="2F972B68"/>
    <w:rsid w:val="2F9F502C"/>
    <w:rsid w:val="2FA21231"/>
    <w:rsid w:val="2FAD4759"/>
    <w:rsid w:val="2FAD5866"/>
    <w:rsid w:val="2FAE1EFC"/>
    <w:rsid w:val="2FB4059E"/>
    <w:rsid w:val="2FB46C28"/>
    <w:rsid w:val="2FB46FC7"/>
    <w:rsid w:val="2FB91323"/>
    <w:rsid w:val="2FBB48F1"/>
    <w:rsid w:val="2FC6643E"/>
    <w:rsid w:val="2FCA0967"/>
    <w:rsid w:val="2FCE6A6F"/>
    <w:rsid w:val="2FD20AB9"/>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F616B"/>
    <w:rsid w:val="3042736A"/>
    <w:rsid w:val="3045713F"/>
    <w:rsid w:val="30486EA7"/>
    <w:rsid w:val="30500A5C"/>
    <w:rsid w:val="305447A9"/>
    <w:rsid w:val="305D7B83"/>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CC7E97"/>
    <w:rsid w:val="30DC45E8"/>
    <w:rsid w:val="30DD6027"/>
    <w:rsid w:val="30DE16AB"/>
    <w:rsid w:val="30E1221A"/>
    <w:rsid w:val="30E734EF"/>
    <w:rsid w:val="30EB33E1"/>
    <w:rsid w:val="30F24AB3"/>
    <w:rsid w:val="30F44A95"/>
    <w:rsid w:val="30F77A98"/>
    <w:rsid w:val="30FA21D8"/>
    <w:rsid w:val="30FC2A23"/>
    <w:rsid w:val="31154308"/>
    <w:rsid w:val="31192F8B"/>
    <w:rsid w:val="31197ABC"/>
    <w:rsid w:val="311D5B14"/>
    <w:rsid w:val="312723F9"/>
    <w:rsid w:val="31283101"/>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74BB9"/>
    <w:rsid w:val="3169373B"/>
    <w:rsid w:val="316B0F75"/>
    <w:rsid w:val="316D6213"/>
    <w:rsid w:val="316D6950"/>
    <w:rsid w:val="316E417C"/>
    <w:rsid w:val="316F10AE"/>
    <w:rsid w:val="31712ADE"/>
    <w:rsid w:val="3171328C"/>
    <w:rsid w:val="317477EC"/>
    <w:rsid w:val="317A322A"/>
    <w:rsid w:val="317A7B84"/>
    <w:rsid w:val="317C7397"/>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4418"/>
    <w:rsid w:val="31D06A52"/>
    <w:rsid w:val="31D216CC"/>
    <w:rsid w:val="31E302B9"/>
    <w:rsid w:val="31E83A8A"/>
    <w:rsid w:val="31F20023"/>
    <w:rsid w:val="31F31FF7"/>
    <w:rsid w:val="31F52FE4"/>
    <w:rsid w:val="31F536F7"/>
    <w:rsid w:val="31FA7AEE"/>
    <w:rsid w:val="31FB60C5"/>
    <w:rsid w:val="3209100C"/>
    <w:rsid w:val="320D52C8"/>
    <w:rsid w:val="321E250B"/>
    <w:rsid w:val="32211625"/>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11610"/>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0712F"/>
    <w:rsid w:val="331747E7"/>
    <w:rsid w:val="331B37C6"/>
    <w:rsid w:val="331C390F"/>
    <w:rsid w:val="33222F7E"/>
    <w:rsid w:val="333A0536"/>
    <w:rsid w:val="333E0FE1"/>
    <w:rsid w:val="333F4C47"/>
    <w:rsid w:val="333F5980"/>
    <w:rsid w:val="333F6941"/>
    <w:rsid w:val="334703EE"/>
    <w:rsid w:val="334D7767"/>
    <w:rsid w:val="334F0B5E"/>
    <w:rsid w:val="33610DDA"/>
    <w:rsid w:val="3362171F"/>
    <w:rsid w:val="3366319E"/>
    <w:rsid w:val="336A11D9"/>
    <w:rsid w:val="336C2B69"/>
    <w:rsid w:val="336F5120"/>
    <w:rsid w:val="337009B5"/>
    <w:rsid w:val="337333AD"/>
    <w:rsid w:val="33767D1F"/>
    <w:rsid w:val="33787717"/>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06DA7"/>
    <w:rsid w:val="33CB205A"/>
    <w:rsid w:val="33D31CFB"/>
    <w:rsid w:val="33D451B9"/>
    <w:rsid w:val="33DA3BDA"/>
    <w:rsid w:val="33DB49A5"/>
    <w:rsid w:val="33E20DF0"/>
    <w:rsid w:val="33E54251"/>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21C0C"/>
    <w:rsid w:val="34670E63"/>
    <w:rsid w:val="346C0AEA"/>
    <w:rsid w:val="3473748E"/>
    <w:rsid w:val="347F540F"/>
    <w:rsid w:val="34863322"/>
    <w:rsid w:val="34885DB3"/>
    <w:rsid w:val="34897199"/>
    <w:rsid w:val="348F0ED3"/>
    <w:rsid w:val="348F7A0E"/>
    <w:rsid w:val="34943D90"/>
    <w:rsid w:val="34975090"/>
    <w:rsid w:val="349A0B7D"/>
    <w:rsid w:val="34A02734"/>
    <w:rsid w:val="34A851E8"/>
    <w:rsid w:val="34A92857"/>
    <w:rsid w:val="34A94ADA"/>
    <w:rsid w:val="34A97BFE"/>
    <w:rsid w:val="34AC7B48"/>
    <w:rsid w:val="34B51A96"/>
    <w:rsid w:val="34BF1CD4"/>
    <w:rsid w:val="34BF2BBB"/>
    <w:rsid w:val="34C27960"/>
    <w:rsid w:val="34C800BD"/>
    <w:rsid w:val="34C936CD"/>
    <w:rsid w:val="34CC1DC7"/>
    <w:rsid w:val="34D47C8A"/>
    <w:rsid w:val="34D874E5"/>
    <w:rsid w:val="34DB0CAC"/>
    <w:rsid w:val="34DB31B6"/>
    <w:rsid w:val="34DD3DF9"/>
    <w:rsid w:val="34E34F31"/>
    <w:rsid w:val="34E972FC"/>
    <w:rsid w:val="34F62CC4"/>
    <w:rsid w:val="34F83EF3"/>
    <w:rsid w:val="34F953E0"/>
    <w:rsid w:val="34FF2166"/>
    <w:rsid w:val="3503286C"/>
    <w:rsid w:val="3507280B"/>
    <w:rsid w:val="350A773D"/>
    <w:rsid w:val="350B69C5"/>
    <w:rsid w:val="350F2D16"/>
    <w:rsid w:val="35111FC5"/>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00359"/>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CF1523"/>
    <w:rsid w:val="35D2581D"/>
    <w:rsid w:val="35D31DE1"/>
    <w:rsid w:val="35D361F7"/>
    <w:rsid w:val="35D801CA"/>
    <w:rsid w:val="35DD2AEE"/>
    <w:rsid w:val="35E425DA"/>
    <w:rsid w:val="35EA6509"/>
    <w:rsid w:val="35EC2712"/>
    <w:rsid w:val="35ED04DC"/>
    <w:rsid w:val="35ED2A51"/>
    <w:rsid w:val="35F44E5C"/>
    <w:rsid w:val="35F45994"/>
    <w:rsid w:val="35F8217F"/>
    <w:rsid w:val="3602050E"/>
    <w:rsid w:val="360335A1"/>
    <w:rsid w:val="36077B5A"/>
    <w:rsid w:val="36101A49"/>
    <w:rsid w:val="36121410"/>
    <w:rsid w:val="361265F3"/>
    <w:rsid w:val="36163688"/>
    <w:rsid w:val="361A0709"/>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7304E"/>
    <w:rsid w:val="36991125"/>
    <w:rsid w:val="369C60C5"/>
    <w:rsid w:val="369E44B4"/>
    <w:rsid w:val="36A312B2"/>
    <w:rsid w:val="36A9265A"/>
    <w:rsid w:val="36A9393B"/>
    <w:rsid w:val="36AA239C"/>
    <w:rsid w:val="36AA4517"/>
    <w:rsid w:val="36B121C7"/>
    <w:rsid w:val="36B21E43"/>
    <w:rsid w:val="36B2486C"/>
    <w:rsid w:val="36B307B1"/>
    <w:rsid w:val="36BA14F4"/>
    <w:rsid w:val="36BA2D5F"/>
    <w:rsid w:val="36BB44D5"/>
    <w:rsid w:val="36C45C2A"/>
    <w:rsid w:val="36C962C2"/>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27431"/>
    <w:rsid w:val="37271A7B"/>
    <w:rsid w:val="37277663"/>
    <w:rsid w:val="372A07F2"/>
    <w:rsid w:val="37342518"/>
    <w:rsid w:val="37357964"/>
    <w:rsid w:val="373B5161"/>
    <w:rsid w:val="373D6F58"/>
    <w:rsid w:val="374073A2"/>
    <w:rsid w:val="37446333"/>
    <w:rsid w:val="37446A77"/>
    <w:rsid w:val="374D0B20"/>
    <w:rsid w:val="37505E44"/>
    <w:rsid w:val="37557969"/>
    <w:rsid w:val="375D4473"/>
    <w:rsid w:val="375F3700"/>
    <w:rsid w:val="37615F3C"/>
    <w:rsid w:val="376B106B"/>
    <w:rsid w:val="376C6090"/>
    <w:rsid w:val="376E2676"/>
    <w:rsid w:val="377963D6"/>
    <w:rsid w:val="377A5D14"/>
    <w:rsid w:val="378075A4"/>
    <w:rsid w:val="3783595B"/>
    <w:rsid w:val="37840F0B"/>
    <w:rsid w:val="378772DD"/>
    <w:rsid w:val="378917C1"/>
    <w:rsid w:val="378A731A"/>
    <w:rsid w:val="378B0AAE"/>
    <w:rsid w:val="378E3617"/>
    <w:rsid w:val="378F7F6A"/>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8028C"/>
    <w:rsid w:val="37F94635"/>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10527"/>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13780"/>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67AE9"/>
    <w:rsid w:val="38D828C2"/>
    <w:rsid w:val="38D95A84"/>
    <w:rsid w:val="38E11AA1"/>
    <w:rsid w:val="38E16BBA"/>
    <w:rsid w:val="38E45926"/>
    <w:rsid w:val="38E46191"/>
    <w:rsid w:val="38EB7945"/>
    <w:rsid w:val="38EC260C"/>
    <w:rsid w:val="38EF0DB7"/>
    <w:rsid w:val="38F50C85"/>
    <w:rsid w:val="39050DB8"/>
    <w:rsid w:val="39055331"/>
    <w:rsid w:val="39065A02"/>
    <w:rsid w:val="39105718"/>
    <w:rsid w:val="39147611"/>
    <w:rsid w:val="39212099"/>
    <w:rsid w:val="392A5618"/>
    <w:rsid w:val="392B6A4C"/>
    <w:rsid w:val="393232FB"/>
    <w:rsid w:val="393544DD"/>
    <w:rsid w:val="393962EC"/>
    <w:rsid w:val="393C23AA"/>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CE2B2B"/>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A3EF8"/>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1276"/>
    <w:rsid w:val="3B1860E7"/>
    <w:rsid w:val="3B194FEF"/>
    <w:rsid w:val="3B1B0093"/>
    <w:rsid w:val="3B1D6A80"/>
    <w:rsid w:val="3B225CA4"/>
    <w:rsid w:val="3B2356A8"/>
    <w:rsid w:val="3B2751B7"/>
    <w:rsid w:val="3B2806D1"/>
    <w:rsid w:val="3B2908B6"/>
    <w:rsid w:val="3B2D161A"/>
    <w:rsid w:val="3B2F1534"/>
    <w:rsid w:val="3B3A132E"/>
    <w:rsid w:val="3B3B31B7"/>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C4AB4"/>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44FE7"/>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1E2D"/>
    <w:rsid w:val="3C8555A2"/>
    <w:rsid w:val="3C8577D9"/>
    <w:rsid w:val="3C867450"/>
    <w:rsid w:val="3C893986"/>
    <w:rsid w:val="3C915B7E"/>
    <w:rsid w:val="3C922D7A"/>
    <w:rsid w:val="3C971009"/>
    <w:rsid w:val="3C9E64A0"/>
    <w:rsid w:val="3CA057F1"/>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393726"/>
    <w:rsid w:val="3D47670E"/>
    <w:rsid w:val="3D4A3942"/>
    <w:rsid w:val="3D4D7CF8"/>
    <w:rsid w:val="3D54230E"/>
    <w:rsid w:val="3D58163A"/>
    <w:rsid w:val="3D5A05E2"/>
    <w:rsid w:val="3D5C63D4"/>
    <w:rsid w:val="3D5E50E6"/>
    <w:rsid w:val="3D5F6029"/>
    <w:rsid w:val="3D611CC7"/>
    <w:rsid w:val="3D6223C0"/>
    <w:rsid w:val="3D641D7A"/>
    <w:rsid w:val="3D6A7D83"/>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54FBA"/>
    <w:rsid w:val="3DCD6921"/>
    <w:rsid w:val="3DD67156"/>
    <w:rsid w:val="3DD745F2"/>
    <w:rsid w:val="3DDE2303"/>
    <w:rsid w:val="3DE04FCE"/>
    <w:rsid w:val="3DE37514"/>
    <w:rsid w:val="3DE548AC"/>
    <w:rsid w:val="3DE653F8"/>
    <w:rsid w:val="3DE72673"/>
    <w:rsid w:val="3DEB1255"/>
    <w:rsid w:val="3DEE1FBE"/>
    <w:rsid w:val="3DEE62E8"/>
    <w:rsid w:val="3DF94D6E"/>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67EA9"/>
    <w:rsid w:val="3E4B2DC3"/>
    <w:rsid w:val="3E535A69"/>
    <w:rsid w:val="3E583BB7"/>
    <w:rsid w:val="3E5A1D01"/>
    <w:rsid w:val="3E5B12DC"/>
    <w:rsid w:val="3E623E46"/>
    <w:rsid w:val="3E63159D"/>
    <w:rsid w:val="3E667FB0"/>
    <w:rsid w:val="3E680BF1"/>
    <w:rsid w:val="3E780453"/>
    <w:rsid w:val="3E7A1C88"/>
    <w:rsid w:val="3E8301F4"/>
    <w:rsid w:val="3E836D6C"/>
    <w:rsid w:val="3E837966"/>
    <w:rsid w:val="3E844725"/>
    <w:rsid w:val="3E8B095A"/>
    <w:rsid w:val="3E8D0487"/>
    <w:rsid w:val="3E8D66A1"/>
    <w:rsid w:val="3E8E6C82"/>
    <w:rsid w:val="3E907376"/>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80BE8"/>
    <w:rsid w:val="3F3C6744"/>
    <w:rsid w:val="3F421D47"/>
    <w:rsid w:val="3F424339"/>
    <w:rsid w:val="3F441B08"/>
    <w:rsid w:val="3F4A4087"/>
    <w:rsid w:val="3F4C0D71"/>
    <w:rsid w:val="3F50629E"/>
    <w:rsid w:val="3F5361F5"/>
    <w:rsid w:val="3F555F0F"/>
    <w:rsid w:val="3F556D23"/>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3FFB5F77"/>
    <w:rsid w:val="40047DBE"/>
    <w:rsid w:val="400503F5"/>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3D94"/>
    <w:rsid w:val="405A424E"/>
    <w:rsid w:val="405C071D"/>
    <w:rsid w:val="406D461C"/>
    <w:rsid w:val="406F7D87"/>
    <w:rsid w:val="40727FB0"/>
    <w:rsid w:val="40734334"/>
    <w:rsid w:val="40764D2C"/>
    <w:rsid w:val="40786FBC"/>
    <w:rsid w:val="407A5C67"/>
    <w:rsid w:val="407B4FD0"/>
    <w:rsid w:val="40801F54"/>
    <w:rsid w:val="40825FDB"/>
    <w:rsid w:val="40836EAD"/>
    <w:rsid w:val="408467AF"/>
    <w:rsid w:val="40907287"/>
    <w:rsid w:val="409238F2"/>
    <w:rsid w:val="40930EBC"/>
    <w:rsid w:val="40953EC0"/>
    <w:rsid w:val="409D027A"/>
    <w:rsid w:val="409F75BB"/>
    <w:rsid w:val="40A8309D"/>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B11DB"/>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05FF"/>
    <w:rsid w:val="41546D5F"/>
    <w:rsid w:val="41574A42"/>
    <w:rsid w:val="41583B8B"/>
    <w:rsid w:val="415A0FEF"/>
    <w:rsid w:val="415A6EFE"/>
    <w:rsid w:val="415E680C"/>
    <w:rsid w:val="41604437"/>
    <w:rsid w:val="416279BA"/>
    <w:rsid w:val="41653B51"/>
    <w:rsid w:val="416655C0"/>
    <w:rsid w:val="41691C24"/>
    <w:rsid w:val="41696778"/>
    <w:rsid w:val="416C15E7"/>
    <w:rsid w:val="416C5E78"/>
    <w:rsid w:val="416E039C"/>
    <w:rsid w:val="416E1B43"/>
    <w:rsid w:val="417727AB"/>
    <w:rsid w:val="417A2749"/>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A7143"/>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26C4D"/>
    <w:rsid w:val="4334749B"/>
    <w:rsid w:val="433C41B8"/>
    <w:rsid w:val="433D2335"/>
    <w:rsid w:val="433F57C3"/>
    <w:rsid w:val="43423065"/>
    <w:rsid w:val="43426A44"/>
    <w:rsid w:val="434660C5"/>
    <w:rsid w:val="43486471"/>
    <w:rsid w:val="434B44DC"/>
    <w:rsid w:val="434D55B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7341D"/>
    <w:rsid w:val="43BB0462"/>
    <w:rsid w:val="43BE3F55"/>
    <w:rsid w:val="43BE6733"/>
    <w:rsid w:val="43C0281C"/>
    <w:rsid w:val="43C02B26"/>
    <w:rsid w:val="43C91C5B"/>
    <w:rsid w:val="43D10A40"/>
    <w:rsid w:val="43D441A9"/>
    <w:rsid w:val="43D67A91"/>
    <w:rsid w:val="43E11D10"/>
    <w:rsid w:val="43E21892"/>
    <w:rsid w:val="43E21F58"/>
    <w:rsid w:val="43E35EF0"/>
    <w:rsid w:val="43F263DD"/>
    <w:rsid w:val="43F60FCB"/>
    <w:rsid w:val="43F71BCF"/>
    <w:rsid w:val="43F76F69"/>
    <w:rsid w:val="43F90FED"/>
    <w:rsid w:val="43F9776B"/>
    <w:rsid w:val="43FC0DB2"/>
    <w:rsid w:val="43FF61BF"/>
    <w:rsid w:val="44051440"/>
    <w:rsid w:val="44095B4D"/>
    <w:rsid w:val="440C5D56"/>
    <w:rsid w:val="44153F0C"/>
    <w:rsid w:val="44174583"/>
    <w:rsid w:val="441A5200"/>
    <w:rsid w:val="441C4432"/>
    <w:rsid w:val="441D506D"/>
    <w:rsid w:val="441E6109"/>
    <w:rsid w:val="4425456D"/>
    <w:rsid w:val="44336EAB"/>
    <w:rsid w:val="44393BD3"/>
    <w:rsid w:val="443D5A58"/>
    <w:rsid w:val="444109FB"/>
    <w:rsid w:val="44416F50"/>
    <w:rsid w:val="444E22EA"/>
    <w:rsid w:val="44584267"/>
    <w:rsid w:val="44613B53"/>
    <w:rsid w:val="44705173"/>
    <w:rsid w:val="44740841"/>
    <w:rsid w:val="4476407C"/>
    <w:rsid w:val="447B4A66"/>
    <w:rsid w:val="447D4136"/>
    <w:rsid w:val="44825790"/>
    <w:rsid w:val="4484172B"/>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B7FD3"/>
    <w:rsid w:val="44BE4FA9"/>
    <w:rsid w:val="44C43057"/>
    <w:rsid w:val="44C46F12"/>
    <w:rsid w:val="44C816C4"/>
    <w:rsid w:val="44C87C0F"/>
    <w:rsid w:val="44C932D0"/>
    <w:rsid w:val="44CB4FB3"/>
    <w:rsid w:val="44D31B1E"/>
    <w:rsid w:val="44DF6F1B"/>
    <w:rsid w:val="44E54BDC"/>
    <w:rsid w:val="44E92DF3"/>
    <w:rsid w:val="44EC6808"/>
    <w:rsid w:val="44F3687D"/>
    <w:rsid w:val="44F82D0E"/>
    <w:rsid w:val="44FB62CC"/>
    <w:rsid w:val="45004D64"/>
    <w:rsid w:val="450174D5"/>
    <w:rsid w:val="45087033"/>
    <w:rsid w:val="451C5E9C"/>
    <w:rsid w:val="45214561"/>
    <w:rsid w:val="45260A34"/>
    <w:rsid w:val="452C5F0A"/>
    <w:rsid w:val="453401C9"/>
    <w:rsid w:val="45347499"/>
    <w:rsid w:val="453579B0"/>
    <w:rsid w:val="45385EDA"/>
    <w:rsid w:val="453F48AB"/>
    <w:rsid w:val="454036A6"/>
    <w:rsid w:val="45446179"/>
    <w:rsid w:val="454B3455"/>
    <w:rsid w:val="454E0AAC"/>
    <w:rsid w:val="454E4F75"/>
    <w:rsid w:val="454E6B7A"/>
    <w:rsid w:val="4551463D"/>
    <w:rsid w:val="45520426"/>
    <w:rsid w:val="45522E35"/>
    <w:rsid w:val="45572AB5"/>
    <w:rsid w:val="455A7708"/>
    <w:rsid w:val="45677B22"/>
    <w:rsid w:val="45697967"/>
    <w:rsid w:val="456C4CA4"/>
    <w:rsid w:val="45700309"/>
    <w:rsid w:val="457736FF"/>
    <w:rsid w:val="457751D0"/>
    <w:rsid w:val="45790DCE"/>
    <w:rsid w:val="457B46C5"/>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7660F"/>
    <w:rsid w:val="468A27AC"/>
    <w:rsid w:val="468E6888"/>
    <w:rsid w:val="46911EDD"/>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92363"/>
    <w:rsid w:val="46CD1F17"/>
    <w:rsid w:val="46D02A05"/>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2B0583"/>
    <w:rsid w:val="472D0105"/>
    <w:rsid w:val="47333B1B"/>
    <w:rsid w:val="47351654"/>
    <w:rsid w:val="47356D0B"/>
    <w:rsid w:val="4735743C"/>
    <w:rsid w:val="473D0BD8"/>
    <w:rsid w:val="47457188"/>
    <w:rsid w:val="47502F2C"/>
    <w:rsid w:val="47525B10"/>
    <w:rsid w:val="47561DDC"/>
    <w:rsid w:val="47592D4E"/>
    <w:rsid w:val="47644CFB"/>
    <w:rsid w:val="47666951"/>
    <w:rsid w:val="47683159"/>
    <w:rsid w:val="476A7D07"/>
    <w:rsid w:val="47727E29"/>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83D35"/>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8E2B78"/>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3517D"/>
    <w:rsid w:val="48EA0E66"/>
    <w:rsid w:val="48EC4C82"/>
    <w:rsid w:val="48F04BA1"/>
    <w:rsid w:val="48F447F8"/>
    <w:rsid w:val="48F612E3"/>
    <w:rsid w:val="48FE11C0"/>
    <w:rsid w:val="48FE59FA"/>
    <w:rsid w:val="490177EE"/>
    <w:rsid w:val="49042840"/>
    <w:rsid w:val="49046287"/>
    <w:rsid w:val="490517F7"/>
    <w:rsid w:val="49075A63"/>
    <w:rsid w:val="49086CBA"/>
    <w:rsid w:val="490933FA"/>
    <w:rsid w:val="490A4D2F"/>
    <w:rsid w:val="490A64AF"/>
    <w:rsid w:val="490D18E7"/>
    <w:rsid w:val="49105066"/>
    <w:rsid w:val="49111AA9"/>
    <w:rsid w:val="491709CE"/>
    <w:rsid w:val="491C3261"/>
    <w:rsid w:val="491F3980"/>
    <w:rsid w:val="49217522"/>
    <w:rsid w:val="49224F55"/>
    <w:rsid w:val="49241D45"/>
    <w:rsid w:val="4929748F"/>
    <w:rsid w:val="492B2D35"/>
    <w:rsid w:val="492F1F4E"/>
    <w:rsid w:val="4935171C"/>
    <w:rsid w:val="493556E9"/>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12C5"/>
    <w:rsid w:val="499C3504"/>
    <w:rsid w:val="499C3A4F"/>
    <w:rsid w:val="499E20E3"/>
    <w:rsid w:val="49A22935"/>
    <w:rsid w:val="49A43EE6"/>
    <w:rsid w:val="49AB3DB8"/>
    <w:rsid w:val="49B4201A"/>
    <w:rsid w:val="49B66518"/>
    <w:rsid w:val="49BA6924"/>
    <w:rsid w:val="49C20C6C"/>
    <w:rsid w:val="49C34AA3"/>
    <w:rsid w:val="49CE0C89"/>
    <w:rsid w:val="49D033A8"/>
    <w:rsid w:val="49D4280C"/>
    <w:rsid w:val="49D93C20"/>
    <w:rsid w:val="49DA3FD3"/>
    <w:rsid w:val="49DA7AB7"/>
    <w:rsid w:val="49E028D9"/>
    <w:rsid w:val="49E27959"/>
    <w:rsid w:val="49E353F8"/>
    <w:rsid w:val="49E46DD1"/>
    <w:rsid w:val="49E95933"/>
    <w:rsid w:val="49EC3766"/>
    <w:rsid w:val="49F7729C"/>
    <w:rsid w:val="49FA3B2A"/>
    <w:rsid w:val="49FA57FE"/>
    <w:rsid w:val="4A02381D"/>
    <w:rsid w:val="4A0238A8"/>
    <w:rsid w:val="4A0573EC"/>
    <w:rsid w:val="4A06116C"/>
    <w:rsid w:val="4A070E8E"/>
    <w:rsid w:val="4A09499E"/>
    <w:rsid w:val="4A1009F9"/>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06A9E"/>
    <w:rsid w:val="4A825AD9"/>
    <w:rsid w:val="4A840EFE"/>
    <w:rsid w:val="4A850C8F"/>
    <w:rsid w:val="4A8953AB"/>
    <w:rsid w:val="4A8B5CEB"/>
    <w:rsid w:val="4A95521B"/>
    <w:rsid w:val="4A970AB1"/>
    <w:rsid w:val="4A9C6332"/>
    <w:rsid w:val="4A9F281E"/>
    <w:rsid w:val="4AA4318E"/>
    <w:rsid w:val="4AA456B8"/>
    <w:rsid w:val="4AA75186"/>
    <w:rsid w:val="4AA85A47"/>
    <w:rsid w:val="4AAF1B3A"/>
    <w:rsid w:val="4AB01D3D"/>
    <w:rsid w:val="4AB113DF"/>
    <w:rsid w:val="4AB56AE2"/>
    <w:rsid w:val="4AB75FB2"/>
    <w:rsid w:val="4ABB3CDE"/>
    <w:rsid w:val="4AC41CC1"/>
    <w:rsid w:val="4AC4256B"/>
    <w:rsid w:val="4AC469D0"/>
    <w:rsid w:val="4AC47154"/>
    <w:rsid w:val="4AC66331"/>
    <w:rsid w:val="4AC860DD"/>
    <w:rsid w:val="4ACF1226"/>
    <w:rsid w:val="4AD162A8"/>
    <w:rsid w:val="4AD25C89"/>
    <w:rsid w:val="4AD768C6"/>
    <w:rsid w:val="4ADE6B8B"/>
    <w:rsid w:val="4AE0796F"/>
    <w:rsid w:val="4AE30444"/>
    <w:rsid w:val="4AE31B85"/>
    <w:rsid w:val="4AE44D84"/>
    <w:rsid w:val="4AEF0F11"/>
    <w:rsid w:val="4AF73EFF"/>
    <w:rsid w:val="4AF902F5"/>
    <w:rsid w:val="4AF94D42"/>
    <w:rsid w:val="4B0107DC"/>
    <w:rsid w:val="4B020D4E"/>
    <w:rsid w:val="4B021266"/>
    <w:rsid w:val="4B032EF2"/>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714F3"/>
    <w:rsid w:val="4B683C6A"/>
    <w:rsid w:val="4B705844"/>
    <w:rsid w:val="4B7224D0"/>
    <w:rsid w:val="4B731C20"/>
    <w:rsid w:val="4B774607"/>
    <w:rsid w:val="4B7A3C96"/>
    <w:rsid w:val="4B7D4F5D"/>
    <w:rsid w:val="4B82716C"/>
    <w:rsid w:val="4B857EC6"/>
    <w:rsid w:val="4B863275"/>
    <w:rsid w:val="4B8829C1"/>
    <w:rsid w:val="4B8A2918"/>
    <w:rsid w:val="4B901807"/>
    <w:rsid w:val="4B996196"/>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EA27BB"/>
    <w:rsid w:val="4BFA2D8A"/>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3A23"/>
    <w:rsid w:val="4C1E7AAC"/>
    <w:rsid w:val="4C20259F"/>
    <w:rsid w:val="4C2037DD"/>
    <w:rsid w:val="4C261319"/>
    <w:rsid w:val="4C2840CB"/>
    <w:rsid w:val="4C312ECF"/>
    <w:rsid w:val="4C422CA7"/>
    <w:rsid w:val="4C427C5C"/>
    <w:rsid w:val="4C4B1C34"/>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87CD0"/>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314E7"/>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085"/>
    <w:rsid w:val="4D551492"/>
    <w:rsid w:val="4D5646C6"/>
    <w:rsid w:val="4D570519"/>
    <w:rsid w:val="4D5819A6"/>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8D78A2"/>
    <w:rsid w:val="4D922BF5"/>
    <w:rsid w:val="4D9724CF"/>
    <w:rsid w:val="4D9B5A29"/>
    <w:rsid w:val="4D9E1AAF"/>
    <w:rsid w:val="4DA53BC8"/>
    <w:rsid w:val="4DB056F4"/>
    <w:rsid w:val="4DB41824"/>
    <w:rsid w:val="4DB95A69"/>
    <w:rsid w:val="4DBA61BD"/>
    <w:rsid w:val="4DBD1F3A"/>
    <w:rsid w:val="4DBD526D"/>
    <w:rsid w:val="4DC31516"/>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57D72"/>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13B8"/>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333CC"/>
    <w:rsid w:val="5014542B"/>
    <w:rsid w:val="50167359"/>
    <w:rsid w:val="50186BF6"/>
    <w:rsid w:val="502751AB"/>
    <w:rsid w:val="502B19AC"/>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C68A2"/>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4F30C0"/>
    <w:rsid w:val="515361F4"/>
    <w:rsid w:val="51536D04"/>
    <w:rsid w:val="515529BB"/>
    <w:rsid w:val="51571A94"/>
    <w:rsid w:val="515A64E3"/>
    <w:rsid w:val="515C30A6"/>
    <w:rsid w:val="5161698E"/>
    <w:rsid w:val="5163574F"/>
    <w:rsid w:val="51651617"/>
    <w:rsid w:val="5179450A"/>
    <w:rsid w:val="51797588"/>
    <w:rsid w:val="517C0CA0"/>
    <w:rsid w:val="517D17DB"/>
    <w:rsid w:val="517F00BC"/>
    <w:rsid w:val="51835DB6"/>
    <w:rsid w:val="51861BC2"/>
    <w:rsid w:val="5188076F"/>
    <w:rsid w:val="519531C9"/>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76A00"/>
    <w:rsid w:val="520858AE"/>
    <w:rsid w:val="520A7B89"/>
    <w:rsid w:val="520E648E"/>
    <w:rsid w:val="521C5D43"/>
    <w:rsid w:val="521D7ED7"/>
    <w:rsid w:val="522501D7"/>
    <w:rsid w:val="52257DA4"/>
    <w:rsid w:val="522602C5"/>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AA4A52"/>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03C9A"/>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0E2DBF"/>
    <w:rsid w:val="541862C6"/>
    <w:rsid w:val="541942B6"/>
    <w:rsid w:val="541A3E14"/>
    <w:rsid w:val="541A40BD"/>
    <w:rsid w:val="541D3002"/>
    <w:rsid w:val="541F38E3"/>
    <w:rsid w:val="542A1803"/>
    <w:rsid w:val="542A3FEF"/>
    <w:rsid w:val="542A5504"/>
    <w:rsid w:val="542D153F"/>
    <w:rsid w:val="542F5BB7"/>
    <w:rsid w:val="542F7A60"/>
    <w:rsid w:val="54346136"/>
    <w:rsid w:val="5438183D"/>
    <w:rsid w:val="545175D7"/>
    <w:rsid w:val="54525BFB"/>
    <w:rsid w:val="5452765B"/>
    <w:rsid w:val="54550067"/>
    <w:rsid w:val="54580F5A"/>
    <w:rsid w:val="545D3E4A"/>
    <w:rsid w:val="547524D4"/>
    <w:rsid w:val="54757648"/>
    <w:rsid w:val="5478695B"/>
    <w:rsid w:val="54860559"/>
    <w:rsid w:val="548810E8"/>
    <w:rsid w:val="54906088"/>
    <w:rsid w:val="54907EF0"/>
    <w:rsid w:val="549438A5"/>
    <w:rsid w:val="54955E91"/>
    <w:rsid w:val="549C64AD"/>
    <w:rsid w:val="549C6534"/>
    <w:rsid w:val="549D250E"/>
    <w:rsid w:val="54A14490"/>
    <w:rsid w:val="54A153FA"/>
    <w:rsid w:val="54A36C2B"/>
    <w:rsid w:val="54AB29C5"/>
    <w:rsid w:val="54AB36A1"/>
    <w:rsid w:val="54B171C4"/>
    <w:rsid w:val="54B31E75"/>
    <w:rsid w:val="54B61DA8"/>
    <w:rsid w:val="54B62C99"/>
    <w:rsid w:val="54BC1CEB"/>
    <w:rsid w:val="54C84D02"/>
    <w:rsid w:val="54CC175C"/>
    <w:rsid w:val="54CC47C4"/>
    <w:rsid w:val="54CD258C"/>
    <w:rsid w:val="54CE1B9D"/>
    <w:rsid w:val="54D81BD6"/>
    <w:rsid w:val="54DF688B"/>
    <w:rsid w:val="54E85E2E"/>
    <w:rsid w:val="54E95643"/>
    <w:rsid w:val="54EB5E03"/>
    <w:rsid w:val="54ED7E47"/>
    <w:rsid w:val="54F40C17"/>
    <w:rsid w:val="550E6C32"/>
    <w:rsid w:val="55126369"/>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21112A"/>
    <w:rsid w:val="56214A7B"/>
    <w:rsid w:val="562E1F90"/>
    <w:rsid w:val="56334D98"/>
    <w:rsid w:val="56373380"/>
    <w:rsid w:val="563B616D"/>
    <w:rsid w:val="56414B0E"/>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8D446F"/>
    <w:rsid w:val="56902B88"/>
    <w:rsid w:val="56926162"/>
    <w:rsid w:val="56927DA4"/>
    <w:rsid w:val="56A032E3"/>
    <w:rsid w:val="56A04928"/>
    <w:rsid w:val="56A418DC"/>
    <w:rsid w:val="56A50EBB"/>
    <w:rsid w:val="56A6371A"/>
    <w:rsid w:val="56A83AE3"/>
    <w:rsid w:val="56AA6A19"/>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1D22"/>
    <w:rsid w:val="575425F9"/>
    <w:rsid w:val="575430BB"/>
    <w:rsid w:val="57555CE5"/>
    <w:rsid w:val="575A2017"/>
    <w:rsid w:val="575B3051"/>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207EA"/>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21D"/>
    <w:rsid w:val="584654C9"/>
    <w:rsid w:val="58470241"/>
    <w:rsid w:val="58481E8A"/>
    <w:rsid w:val="58484F55"/>
    <w:rsid w:val="584C65D6"/>
    <w:rsid w:val="58514445"/>
    <w:rsid w:val="58563BF0"/>
    <w:rsid w:val="58590DD2"/>
    <w:rsid w:val="5863473D"/>
    <w:rsid w:val="586631C9"/>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19232A"/>
    <w:rsid w:val="59255E05"/>
    <w:rsid w:val="59267EF0"/>
    <w:rsid w:val="59287A6A"/>
    <w:rsid w:val="592C2EB2"/>
    <w:rsid w:val="592D39AB"/>
    <w:rsid w:val="592E39AE"/>
    <w:rsid w:val="59376E4C"/>
    <w:rsid w:val="593F73A8"/>
    <w:rsid w:val="59421F7E"/>
    <w:rsid w:val="59424509"/>
    <w:rsid w:val="594935F2"/>
    <w:rsid w:val="594C2750"/>
    <w:rsid w:val="594D49D5"/>
    <w:rsid w:val="59537B91"/>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E2310"/>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4503F"/>
    <w:rsid w:val="5A8F76C1"/>
    <w:rsid w:val="5A921A04"/>
    <w:rsid w:val="5A9A0A66"/>
    <w:rsid w:val="5AA541CF"/>
    <w:rsid w:val="5AAF48E4"/>
    <w:rsid w:val="5AB37B5F"/>
    <w:rsid w:val="5AB96041"/>
    <w:rsid w:val="5ABA15AB"/>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33516"/>
    <w:rsid w:val="5B0C6EB5"/>
    <w:rsid w:val="5B0C773E"/>
    <w:rsid w:val="5B146AFE"/>
    <w:rsid w:val="5B152C30"/>
    <w:rsid w:val="5B187495"/>
    <w:rsid w:val="5B1945A0"/>
    <w:rsid w:val="5B1A2A0F"/>
    <w:rsid w:val="5B1B10FA"/>
    <w:rsid w:val="5B1B5003"/>
    <w:rsid w:val="5B225A79"/>
    <w:rsid w:val="5B2445B5"/>
    <w:rsid w:val="5B251198"/>
    <w:rsid w:val="5B2559CC"/>
    <w:rsid w:val="5B287B28"/>
    <w:rsid w:val="5B2A41C4"/>
    <w:rsid w:val="5B2B5E52"/>
    <w:rsid w:val="5B3E0A56"/>
    <w:rsid w:val="5B431363"/>
    <w:rsid w:val="5B470B47"/>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71DD5"/>
    <w:rsid w:val="5B896F76"/>
    <w:rsid w:val="5B8F287C"/>
    <w:rsid w:val="5B9242D5"/>
    <w:rsid w:val="5B9319B5"/>
    <w:rsid w:val="5B96407F"/>
    <w:rsid w:val="5B975E5B"/>
    <w:rsid w:val="5B9C0984"/>
    <w:rsid w:val="5B9D5FB0"/>
    <w:rsid w:val="5BA036A0"/>
    <w:rsid w:val="5BA65080"/>
    <w:rsid w:val="5BA76A78"/>
    <w:rsid w:val="5BAB7E26"/>
    <w:rsid w:val="5BAE679D"/>
    <w:rsid w:val="5BB029AE"/>
    <w:rsid w:val="5BB214B7"/>
    <w:rsid w:val="5BB424C4"/>
    <w:rsid w:val="5BB576AD"/>
    <w:rsid w:val="5BB6242D"/>
    <w:rsid w:val="5BB73316"/>
    <w:rsid w:val="5BB76EBD"/>
    <w:rsid w:val="5BBE6EBD"/>
    <w:rsid w:val="5BC02787"/>
    <w:rsid w:val="5BC07095"/>
    <w:rsid w:val="5BC52B9A"/>
    <w:rsid w:val="5BCD45FD"/>
    <w:rsid w:val="5BCD6158"/>
    <w:rsid w:val="5BD41880"/>
    <w:rsid w:val="5BD627D7"/>
    <w:rsid w:val="5BE2289B"/>
    <w:rsid w:val="5BE23D1E"/>
    <w:rsid w:val="5BE24CD9"/>
    <w:rsid w:val="5BE50680"/>
    <w:rsid w:val="5BE52EE1"/>
    <w:rsid w:val="5BE9132C"/>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F0381"/>
    <w:rsid w:val="5C2F421A"/>
    <w:rsid w:val="5C3B2DCF"/>
    <w:rsid w:val="5C474C2E"/>
    <w:rsid w:val="5C480293"/>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04F11"/>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60485"/>
    <w:rsid w:val="5DAE2E8C"/>
    <w:rsid w:val="5DAE7F34"/>
    <w:rsid w:val="5DB42E5D"/>
    <w:rsid w:val="5DB509ED"/>
    <w:rsid w:val="5DB65502"/>
    <w:rsid w:val="5DB906BB"/>
    <w:rsid w:val="5DC41A63"/>
    <w:rsid w:val="5DD70750"/>
    <w:rsid w:val="5DD866E8"/>
    <w:rsid w:val="5DDC5CDC"/>
    <w:rsid w:val="5DE33590"/>
    <w:rsid w:val="5DE44DF4"/>
    <w:rsid w:val="5DED4540"/>
    <w:rsid w:val="5E00720B"/>
    <w:rsid w:val="5E012896"/>
    <w:rsid w:val="5E0825B2"/>
    <w:rsid w:val="5E084D23"/>
    <w:rsid w:val="5E0A6049"/>
    <w:rsid w:val="5E0D40E7"/>
    <w:rsid w:val="5E110C11"/>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CF732C"/>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5A335C"/>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34F37"/>
    <w:rsid w:val="5FA4374A"/>
    <w:rsid w:val="5FA4380A"/>
    <w:rsid w:val="5FA4668F"/>
    <w:rsid w:val="5FA5501A"/>
    <w:rsid w:val="5FAB674F"/>
    <w:rsid w:val="5FB25387"/>
    <w:rsid w:val="5FBF3440"/>
    <w:rsid w:val="5FC53509"/>
    <w:rsid w:val="5FCC5D9F"/>
    <w:rsid w:val="5FCF211B"/>
    <w:rsid w:val="5FD20829"/>
    <w:rsid w:val="5FD526EA"/>
    <w:rsid w:val="5FDA515F"/>
    <w:rsid w:val="5FDD5D76"/>
    <w:rsid w:val="5FE73834"/>
    <w:rsid w:val="5FEB0680"/>
    <w:rsid w:val="5FF744A9"/>
    <w:rsid w:val="5FF76947"/>
    <w:rsid w:val="5FFB17C7"/>
    <w:rsid w:val="5FFE6C22"/>
    <w:rsid w:val="60000309"/>
    <w:rsid w:val="600B28A8"/>
    <w:rsid w:val="600B6B90"/>
    <w:rsid w:val="600C3224"/>
    <w:rsid w:val="600F6605"/>
    <w:rsid w:val="60143AD3"/>
    <w:rsid w:val="60281FCD"/>
    <w:rsid w:val="602876AC"/>
    <w:rsid w:val="602D6A03"/>
    <w:rsid w:val="602E6F8F"/>
    <w:rsid w:val="603215F4"/>
    <w:rsid w:val="603771DA"/>
    <w:rsid w:val="60447E31"/>
    <w:rsid w:val="604C5236"/>
    <w:rsid w:val="605006BC"/>
    <w:rsid w:val="60584E5C"/>
    <w:rsid w:val="606162D0"/>
    <w:rsid w:val="60674769"/>
    <w:rsid w:val="606A5CB1"/>
    <w:rsid w:val="606F545C"/>
    <w:rsid w:val="607034AE"/>
    <w:rsid w:val="607079E9"/>
    <w:rsid w:val="60734371"/>
    <w:rsid w:val="607761FD"/>
    <w:rsid w:val="60830460"/>
    <w:rsid w:val="6085543E"/>
    <w:rsid w:val="608B5C80"/>
    <w:rsid w:val="60907882"/>
    <w:rsid w:val="609258F0"/>
    <w:rsid w:val="6093287A"/>
    <w:rsid w:val="609517E9"/>
    <w:rsid w:val="609863C2"/>
    <w:rsid w:val="609A2B73"/>
    <w:rsid w:val="609F1E8C"/>
    <w:rsid w:val="60A0440C"/>
    <w:rsid w:val="60A7597A"/>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0FF5A53"/>
    <w:rsid w:val="61027740"/>
    <w:rsid w:val="61034098"/>
    <w:rsid w:val="61067A64"/>
    <w:rsid w:val="610C7D1D"/>
    <w:rsid w:val="610F66EC"/>
    <w:rsid w:val="61105E47"/>
    <w:rsid w:val="6112529A"/>
    <w:rsid w:val="611A085E"/>
    <w:rsid w:val="611A59D1"/>
    <w:rsid w:val="611A7B15"/>
    <w:rsid w:val="611C59F7"/>
    <w:rsid w:val="611F0B09"/>
    <w:rsid w:val="61200AAF"/>
    <w:rsid w:val="612D2321"/>
    <w:rsid w:val="612F769F"/>
    <w:rsid w:val="613964B7"/>
    <w:rsid w:val="613F44DC"/>
    <w:rsid w:val="614430E2"/>
    <w:rsid w:val="61455CF4"/>
    <w:rsid w:val="61466898"/>
    <w:rsid w:val="61512409"/>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4D58"/>
    <w:rsid w:val="622D780A"/>
    <w:rsid w:val="622E2CF4"/>
    <w:rsid w:val="622F5ABF"/>
    <w:rsid w:val="623D0C68"/>
    <w:rsid w:val="623D7106"/>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54035"/>
    <w:rsid w:val="6299295E"/>
    <w:rsid w:val="629A07BC"/>
    <w:rsid w:val="629D61D1"/>
    <w:rsid w:val="62A33CA7"/>
    <w:rsid w:val="62A36C5E"/>
    <w:rsid w:val="62A60127"/>
    <w:rsid w:val="62B64D4D"/>
    <w:rsid w:val="62B754A9"/>
    <w:rsid w:val="62B94634"/>
    <w:rsid w:val="62BA3B2B"/>
    <w:rsid w:val="62C37511"/>
    <w:rsid w:val="62C5286D"/>
    <w:rsid w:val="62C666F6"/>
    <w:rsid w:val="62C7321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0553"/>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24E49"/>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0238"/>
    <w:rsid w:val="647811BC"/>
    <w:rsid w:val="647C37ED"/>
    <w:rsid w:val="64814078"/>
    <w:rsid w:val="648B777B"/>
    <w:rsid w:val="64937D17"/>
    <w:rsid w:val="6494650D"/>
    <w:rsid w:val="64961064"/>
    <w:rsid w:val="64984C13"/>
    <w:rsid w:val="649A6134"/>
    <w:rsid w:val="649D2569"/>
    <w:rsid w:val="64A157DA"/>
    <w:rsid w:val="64A32650"/>
    <w:rsid w:val="64A51362"/>
    <w:rsid w:val="64A55A03"/>
    <w:rsid w:val="64A62D1B"/>
    <w:rsid w:val="64A860F2"/>
    <w:rsid w:val="64AD4200"/>
    <w:rsid w:val="64AF09FF"/>
    <w:rsid w:val="64B32CD7"/>
    <w:rsid w:val="64B452BD"/>
    <w:rsid w:val="64B453B1"/>
    <w:rsid w:val="64B8032B"/>
    <w:rsid w:val="64BE5702"/>
    <w:rsid w:val="64C16289"/>
    <w:rsid w:val="64CC2A37"/>
    <w:rsid w:val="64CF05E4"/>
    <w:rsid w:val="64CF1E41"/>
    <w:rsid w:val="64D15E6F"/>
    <w:rsid w:val="64D32645"/>
    <w:rsid w:val="64D40BDA"/>
    <w:rsid w:val="64D93F02"/>
    <w:rsid w:val="64DF1E48"/>
    <w:rsid w:val="64DF440C"/>
    <w:rsid w:val="64E52880"/>
    <w:rsid w:val="64E5543E"/>
    <w:rsid w:val="64E76F6D"/>
    <w:rsid w:val="64EA4517"/>
    <w:rsid w:val="64F8164D"/>
    <w:rsid w:val="64FA3156"/>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C227E"/>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4F6E4E"/>
    <w:rsid w:val="6658158E"/>
    <w:rsid w:val="66631FDD"/>
    <w:rsid w:val="66634E10"/>
    <w:rsid w:val="66727620"/>
    <w:rsid w:val="667411A7"/>
    <w:rsid w:val="66746666"/>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15D46"/>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A65EF"/>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7FF7197"/>
    <w:rsid w:val="680965F8"/>
    <w:rsid w:val="680C5410"/>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314D3"/>
    <w:rsid w:val="68640FCC"/>
    <w:rsid w:val="68650339"/>
    <w:rsid w:val="68651915"/>
    <w:rsid w:val="68670AE1"/>
    <w:rsid w:val="686A3251"/>
    <w:rsid w:val="68707D82"/>
    <w:rsid w:val="68733F18"/>
    <w:rsid w:val="687442EE"/>
    <w:rsid w:val="68772A56"/>
    <w:rsid w:val="687C7996"/>
    <w:rsid w:val="687E1768"/>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571FF"/>
    <w:rsid w:val="68B65AA7"/>
    <w:rsid w:val="68BC14B0"/>
    <w:rsid w:val="68BC512A"/>
    <w:rsid w:val="68BF0078"/>
    <w:rsid w:val="68C04067"/>
    <w:rsid w:val="68C20D16"/>
    <w:rsid w:val="68CA4525"/>
    <w:rsid w:val="68D034F0"/>
    <w:rsid w:val="68D94717"/>
    <w:rsid w:val="68DD619B"/>
    <w:rsid w:val="68EC3A15"/>
    <w:rsid w:val="68ED69A7"/>
    <w:rsid w:val="68FA4E75"/>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C088C"/>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C522E3"/>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07803"/>
    <w:rsid w:val="6A532FF6"/>
    <w:rsid w:val="6A601C8F"/>
    <w:rsid w:val="6A6A0FDF"/>
    <w:rsid w:val="6A7136BA"/>
    <w:rsid w:val="6A7174A5"/>
    <w:rsid w:val="6A72508F"/>
    <w:rsid w:val="6A732254"/>
    <w:rsid w:val="6A774894"/>
    <w:rsid w:val="6A7B34E6"/>
    <w:rsid w:val="6A7C4E7D"/>
    <w:rsid w:val="6A7E0847"/>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551EB"/>
    <w:rsid w:val="6ACB0C44"/>
    <w:rsid w:val="6ACC352D"/>
    <w:rsid w:val="6AD625D9"/>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2340"/>
    <w:rsid w:val="6B4E4A00"/>
    <w:rsid w:val="6B5278F5"/>
    <w:rsid w:val="6B5A64D2"/>
    <w:rsid w:val="6B5B0A52"/>
    <w:rsid w:val="6B5B7CD6"/>
    <w:rsid w:val="6B5D2504"/>
    <w:rsid w:val="6B6849C2"/>
    <w:rsid w:val="6B6C560D"/>
    <w:rsid w:val="6B705E52"/>
    <w:rsid w:val="6B735BFD"/>
    <w:rsid w:val="6B785D05"/>
    <w:rsid w:val="6B7F7BD7"/>
    <w:rsid w:val="6B8448F8"/>
    <w:rsid w:val="6B846AF2"/>
    <w:rsid w:val="6B95396B"/>
    <w:rsid w:val="6BA345DB"/>
    <w:rsid w:val="6BAA2D23"/>
    <w:rsid w:val="6BAB7077"/>
    <w:rsid w:val="6BAC0EF7"/>
    <w:rsid w:val="6BB90470"/>
    <w:rsid w:val="6BBB00B1"/>
    <w:rsid w:val="6BBD0EFB"/>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BFD39ED"/>
    <w:rsid w:val="6C03759D"/>
    <w:rsid w:val="6C06150E"/>
    <w:rsid w:val="6C1407B4"/>
    <w:rsid w:val="6C150C0B"/>
    <w:rsid w:val="6C153D1A"/>
    <w:rsid w:val="6C155F31"/>
    <w:rsid w:val="6C206E21"/>
    <w:rsid w:val="6C263A06"/>
    <w:rsid w:val="6C265F77"/>
    <w:rsid w:val="6C336069"/>
    <w:rsid w:val="6C3A624E"/>
    <w:rsid w:val="6C3E592B"/>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45F31"/>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24EEE"/>
    <w:rsid w:val="6DC54D30"/>
    <w:rsid w:val="6DC65806"/>
    <w:rsid w:val="6DCA2F8B"/>
    <w:rsid w:val="6DDF0294"/>
    <w:rsid w:val="6DE9618F"/>
    <w:rsid w:val="6DED02CD"/>
    <w:rsid w:val="6DF07F1A"/>
    <w:rsid w:val="6DF4685D"/>
    <w:rsid w:val="6DF6740D"/>
    <w:rsid w:val="6DF92BCB"/>
    <w:rsid w:val="6DFB06CC"/>
    <w:rsid w:val="6DFF4CF7"/>
    <w:rsid w:val="6E035B81"/>
    <w:rsid w:val="6E0E3C8F"/>
    <w:rsid w:val="6E0F0D37"/>
    <w:rsid w:val="6E0F320E"/>
    <w:rsid w:val="6E1058C0"/>
    <w:rsid w:val="6E112785"/>
    <w:rsid w:val="6E114B44"/>
    <w:rsid w:val="6E131686"/>
    <w:rsid w:val="6E163C98"/>
    <w:rsid w:val="6E1B4CD0"/>
    <w:rsid w:val="6E1C2489"/>
    <w:rsid w:val="6E1D776A"/>
    <w:rsid w:val="6E225993"/>
    <w:rsid w:val="6E231146"/>
    <w:rsid w:val="6E2A0DD8"/>
    <w:rsid w:val="6E2D5605"/>
    <w:rsid w:val="6E3552B0"/>
    <w:rsid w:val="6E3556C0"/>
    <w:rsid w:val="6E35742E"/>
    <w:rsid w:val="6E376A3A"/>
    <w:rsid w:val="6E3E181B"/>
    <w:rsid w:val="6E3F1C0F"/>
    <w:rsid w:val="6E43403B"/>
    <w:rsid w:val="6E484191"/>
    <w:rsid w:val="6E4E018F"/>
    <w:rsid w:val="6E4E0EC4"/>
    <w:rsid w:val="6E524135"/>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9D50DF"/>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EA02B0"/>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3E05A4"/>
    <w:rsid w:val="6F447F07"/>
    <w:rsid w:val="6F4876AF"/>
    <w:rsid w:val="6F4E4A74"/>
    <w:rsid w:val="6F537FC0"/>
    <w:rsid w:val="6F540F88"/>
    <w:rsid w:val="6F5B1156"/>
    <w:rsid w:val="6F5E3CAA"/>
    <w:rsid w:val="6F5E47A3"/>
    <w:rsid w:val="6F607895"/>
    <w:rsid w:val="6F61040C"/>
    <w:rsid w:val="6F6776E1"/>
    <w:rsid w:val="6F702CF5"/>
    <w:rsid w:val="6F714EFF"/>
    <w:rsid w:val="6F7A0C79"/>
    <w:rsid w:val="6F7E1B78"/>
    <w:rsid w:val="6F801E09"/>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40D5"/>
    <w:rsid w:val="6FDC6A2D"/>
    <w:rsid w:val="6FE53444"/>
    <w:rsid w:val="6FE76FE3"/>
    <w:rsid w:val="6FEE1369"/>
    <w:rsid w:val="6FF1528E"/>
    <w:rsid w:val="6FF561D1"/>
    <w:rsid w:val="6FF6275E"/>
    <w:rsid w:val="6FFB0E00"/>
    <w:rsid w:val="6FFF10F4"/>
    <w:rsid w:val="70005FFB"/>
    <w:rsid w:val="700477C8"/>
    <w:rsid w:val="70064775"/>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0659E"/>
    <w:rsid w:val="70494AF1"/>
    <w:rsid w:val="704A6916"/>
    <w:rsid w:val="7054528E"/>
    <w:rsid w:val="70545BA6"/>
    <w:rsid w:val="70555B90"/>
    <w:rsid w:val="705E76BE"/>
    <w:rsid w:val="70680AC8"/>
    <w:rsid w:val="70684400"/>
    <w:rsid w:val="706D51B8"/>
    <w:rsid w:val="70712877"/>
    <w:rsid w:val="70737F32"/>
    <w:rsid w:val="70767F2C"/>
    <w:rsid w:val="70785A86"/>
    <w:rsid w:val="707C55FA"/>
    <w:rsid w:val="707E62BB"/>
    <w:rsid w:val="70903082"/>
    <w:rsid w:val="70910C43"/>
    <w:rsid w:val="70920AC0"/>
    <w:rsid w:val="709244B6"/>
    <w:rsid w:val="7095244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81111"/>
    <w:rsid w:val="710B03C6"/>
    <w:rsid w:val="710C1678"/>
    <w:rsid w:val="710E21DD"/>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66233"/>
    <w:rsid w:val="71890883"/>
    <w:rsid w:val="718B3A9F"/>
    <w:rsid w:val="71936186"/>
    <w:rsid w:val="71A535F8"/>
    <w:rsid w:val="71A5684D"/>
    <w:rsid w:val="71AE2BD5"/>
    <w:rsid w:val="71AF2F66"/>
    <w:rsid w:val="71B06996"/>
    <w:rsid w:val="71B0735B"/>
    <w:rsid w:val="71B31BCF"/>
    <w:rsid w:val="71B40CF8"/>
    <w:rsid w:val="71BA3B1E"/>
    <w:rsid w:val="71C061A0"/>
    <w:rsid w:val="71C11862"/>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D425E"/>
    <w:rsid w:val="720F633E"/>
    <w:rsid w:val="720F7FD6"/>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80671"/>
    <w:rsid w:val="725D29D6"/>
    <w:rsid w:val="725E4102"/>
    <w:rsid w:val="725F730D"/>
    <w:rsid w:val="726227FC"/>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0257"/>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46CF3"/>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3270"/>
    <w:rsid w:val="736E46F1"/>
    <w:rsid w:val="737E1149"/>
    <w:rsid w:val="7380059C"/>
    <w:rsid w:val="73814AA3"/>
    <w:rsid w:val="73824E98"/>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43D24"/>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920FD0"/>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D6DFA"/>
    <w:rsid w:val="74FF07F1"/>
    <w:rsid w:val="7502618E"/>
    <w:rsid w:val="7507587E"/>
    <w:rsid w:val="750934A8"/>
    <w:rsid w:val="750A15E4"/>
    <w:rsid w:val="750C76FA"/>
    <w:rsid w:val="751C5464"/>
    <w:rsid w:val="751E29FC"/>
    <w:rsid w:val="752B3381"/>
    <w:rsid w:val="75325694"/>
    <w:rsid w:val="7534402F"/>
    <w:rsid w:val="75354C70"/>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A1C0A"/>
    <w:rsid w:val="757D2DDE"/>
    <w:rsid w:val="7586018C"/>
    <w:rsid w:val="758F201D"/>
    <w:rsid w:val="75904ECF"/>
    <w:rsid w:val="75912385"/>
    <w:rsid w:val="759739B3"/>
    <w:rsid w:val="75991C4A"/>
    <w:rsid w:val="75992925"/>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CE42FF"/>
    <w:rsid w:val="75D1230F"/>
    <w:rsid w:val="75D357A7"/>
    <w:rsid w:val="75DA5FC8"/>
    <w:rsid w:val="75DB08A6"/>
    <w:rsid w:val="75DB5FA1"/>
    <w:rsid w:val="75DB5FA3"/>
    <w:rsid w:val="75E2330A"/>
    <w:rsid w:val="75E7499A"/>
    <w:rsid w:val="75EF084A"/>
    <w:rsid w:val="75F75D00"/>
    <w:rsid w:val="75F8074C"/>
    <w:rsid w:val="7600209C"/>
    <w:rsid w:val="760049B0"/>
    <w:rsid w:val="760200DC"/>
    <w:rsid w:val="760218FE"/>
    <w:rsid w:val="76070A73"/>
    <w:rsid w:val="761014A5"/>
    <w:rsid w:val="76101CE0"/>
    <w:rsid w:val="76213B4B"/>
    <w:rsid w:val="7623481D"/>
    <w:rsid w:val="76240922"/>
    <w:rsid w:val="76250B12"/>
    <w:rsid w:val="762528F6"/>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00A09"/>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00954"/>
    <w:rsid w:val="76F2295F"/>
    <w:rsid w:val="76F50A9F"/>
    <w:rsid w:val="76F54B72"/>
    <w:rsid w:val="76FA2A7D"/>
    <w:rsid w:val="76FC1359"/>
    <w:rsid w:val="76FD2D1D"/>
    <w:rsid w:val="77062DA9"/>
    <w:rsid w:val="770B70DA"/>
    <w:rsid w:val="770D756F"/>
    <w:rsid w:val="770F088C"/>
    <w:rsid w:val="77187F65"/>
    <w:rsid w:val="772001DC"/>
    <w:rsid w:val="7725137D"/>
    <w:rsid w:val="77284F7D"/>
    <w:rsid w:val="7729766A"/>
    <w:rsid w:val="772D35A6"/>
    <w:rsid w:val="772D3786"/>
    <w:rsid w:val="77390F75"/>
    <w:rsid w:val="773A62B8"/>
    <w:rsid w:val="773F3295"/>
    <w:rsid w:val="77422DC5"/>
    <w:rsid w:val="7743723B"/>
    <w:rsid w:val="77451EB6"/>
    <w:rsid w:val="77490C6C"/>
    <w:rsid w:val="774B3934"/>
    <w:rsid w:val="774D0C35"/>
    <w:rsid w:val="774D47BD"/>
    <w:rsid w:val="775352E9"/>
    <w:rsid w:val="77551F00"/>
    <w:rsid w:val="775A3307"/>
    <w:rsid w:val="775B4F33"/>
    <w:rsid w:val="77600ABE"/>
    <w:rsid w:val="77604325"/>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09D2"/>
    <w:rsid w:val="77EE19D2"/>
    <w:rsid w:val="77EF4577"/>
    <w:rsid w:val="77F62755"/>
    <w:rsid w:val="77F62779"/>
    <w:rsid w:val="77F92249"/>
    <w:rsid w:val="780126CE"/>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8A03B6"/>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B6327"/>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26EE3"/>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27A3B"/>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1C98"/>
    <w:rsid w:val="79F934E7"/>
    <w:rsid w:val="79FB2D0B"/>
    <w:rsid w:val="7A0206F4"/>
    <w:rsid w:val="7A027298"/>
    <w:rsid w:val="7A052E17"/>
    <w:rsid w:val="7A097B67"/>
    <w:rsid w:val="7A0F1525"/>
    <w:rsid w:val="7A10389D"/>
    <w:rsid w:val="7A157806"/>
    <w:rsid w:val="7A200921"/>
    <w:rsid w:val="7A245751"/>
    <w:rsid w:val="7A262C2D"/>
    <w:rsid w:val="7A290013"/>
    <w:rsid w:val="7A291938"/>
    <w:rsid w:val="7A303F52"/>
    <w:rsid w:val="7A3A405E"/>
    <w:rsid w:val="7A3C7419"/>
    <w:rsid w:val="7A3D7CC0"/>
    <w:rsid w:val="7A4006D3"/>
    <w:rsid w:val="7A4801BB"/>
    <w:rsid w:val="7A485CE1"/>
    <w:rsid w:val="7A491EF3"/>
    <w:rsid w:val="7A4D07BA"/>
    <w:rsid w:val="7A5863D3"/>
    <w:rsid w:val="7A5A36DB"/>
    <w:rsid w:val="7A5C5FAF"/>
    <w:rsid w:val="7A634604"/>
    <w:rsid w:val="7A64499E"/>
    <w:rsid w:val="7A660CFF"/>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569FF"/>
    <w:rsid w:val="7B6E2AB1"/>
    <w:rsid w:val="7B6F1AE6"/>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0F390F"/>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792C1C"/>
    <w:rsid w:val="7C815D2A"/>
    <w:rsid w:val="7C831756"/>
    <w:rsid w:val="7C8C4CAB"/>
    <w:rsid w:val="7C8E41ED"/>
    <w:rsid w:val="7C982736"/>
    <w:rsid w:val="7C990CFA"/>
    <w:rsid w:val="7C9A2FA3"/>
    <w:rsid w:val="7C9E5A24"/>
    <w:rsid w:val="7CA3583F"/>
    <w:rsid w:val="7CA67728"/>
    <w:rsid w:val="7CAD0B17"/>
    <w:rsid w:val="7CB027DF"/>
    <w:rsid w:val="7CB2364E"/>
    <w:rsid w:val="7CB271E9"/>
    <w:rsid w:val="7CB62523"/>
    <w:rsid w:val="7CCA5583"/>
    <w:rsid w:val="7CCE6E72"/>
    <w:rsid w:val="7CCF1812"/>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041BB"/>
    <w:rsid w:val="7D270BA6"/>
    <w:rsid w:val="7D281397"/>
    <w:rsid w:val="7D292A41"/>
    <w:rsid w:val="7D2A5CCB"/>
    <w:rsid w:val="7D3341E7"/>
    <w:rsid w:val="7D377B94"/>
    <w:rsid w:val="7D401CAA"/>
    <w:rsid w:val="7D4E195B"/>
    <w:rsid w:val="7D4F4ABB"/>
    <w:rsid w:val="7D515EFA"/>
    <w:rsid w:val="7D5431B0"/>
    <w:rsid w:val="7D5A6FBE"/>
    <w:rsid w:val="7D5D42EC"/>
    <w:rsid w:val="7D5F4211"/>
    <w:rsid w:val="7D630A43"/>
    <w:rsid w:val="7D635C6D"/>
    <w:rsid w:val="7D64087E"/>
    <w:rsid w:val="7D642C85"/>
    <w:rsid w:val="7D69117D"/>
    <w:rsid w:val="7D696CB2"/>
    <w:rsid w:val="7D6F06CE"/>
    <w:rsid w:val="7D7A555A"/>
    <w:rsid w:val="7D7F5298"/>
    <w:rsid w:val="7D8362BA"/>
    <w:rsid w:val="7D8B7B11"/>
    <w:rsid w:val="7D9F0F7A"/>
    <w:rsid w:val="7DA71A0B"/>
    <w:rsid w:val="7DA843EE"/>
    <w:rsid w:val="7DA948C4"/>
    <w:rsid w:val="7DAB10BD"/>
    <w:rsid w:val="7DAF4AB4"/>
    <w:rsid w:val="7DB17F8F"/>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013B7"/>
    <w:rsid w:val="7E8D3E75"/>
    <w:rsid w:val="7E8E073B"/>
    <w:rsid w:val="7E9044A6"/>
    <w:rsid w:val="7E922E52"/>
    <w:rsid w:val="7E965F7C"/>
    <w:rsid w:val="7E9C0411"/>
    <w:rsid w:val="7EA10518"/>
    <w:rsid w:val="7EA37537"/>
    <w:rsid w:val="7EA43064"/>
    <w:rsid w:val="7EA45F62"/>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35236"/>
    <w:rsid w:val="7F6645A4"/>
    <w:rsid w:val="7F8403DB"/>
    <w:rsid w:val="7F8660CD"/>
    <w:rsid w:val="7F8A2E2C"/>
    <w:rsid w:val="7F963419"/>
    <w:rsid w:val="7F98528E"/>
    <w:rsid w:val="7FA069EC"/>
    <w:rsid w:val="7FB351E6"/>
    <w:rsid w:val="7FB422D4"/>
    <w:rsid w:val="7FBA5A25"/>
    <w:rsid w:val="7FBD0C23"/>
    <w:rsid w:val="7FC164F8"/>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 w:type="paragraph" w:customStyle="1" w:styleId="109">
    <w:name w:val="3GPP 正文"/>
    <w:basedOn w:val="1"/>
    <w:qFormat/>
    <w:uiPriority w:val="0"/>
    <w:rPr>
      <w:lang w:val="zh-CN"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1370</Words>
  <Characters>7034</Characters>
  <Lines>82</Lines>
  <Paragraphs>23</Paragraphs>
  <TotalTime>8</TotalTime>
  <ScaleCrop>false</ScaleCrop>
  <LinksUpToDate>false</LinksUpToDate>
  <CharactersWithSpaces>8426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2025-08-15T13:47:32Z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64243F2AB4DA4862B0F51443CF33F806</vt:lpwstr>
  </property>
  <property fmtid="{D5CDD505-2E9C-101B-9397-08002B2CF9AE}" pid="4" name="KSOTemplateDocerSaveRecord">
    <vt:lpwstr>eyJoZGlkIjoiNTA2MDIzMjk0NzI5MmEzNWQ4YmNjZGZiMjgzNzc2MDMiLCJ1c2VySWQiOiIxMDQyMjkzMzc0In0=</vt:lpwstr>
  </property>
</Properties>
</file>